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E292" w14:textId="77777777" w:rsidR="00262562" w:rsidRDefault="00262562" w:rsidP="00262562"/>
    <w:tbl>
      <w:tblPr>
        <w:tblW w:w="106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440"/>
        <w:gridCol w:w="1620"/>
        <w:gridCol w:w="1620"/>
        <w:gridCol w:w="1125"/>
        <w:gridCol w:w="945"/>
        <w:gridCol w:w="990"/>
        <w:gridCol w:w="990"/>
      </w:tblGrid>
      <w:tr w:rsidR="00262562" w14:paraId="19CBCE97" w14:textId="77777777" w:rsidTr="00A721F0">
        <w:trPr>
          <w:cantSplit/>
        </w:trPr>
        <w:tc>
          <w:tcPr>
            <w:tcW w:w="1890" w:type="dxa"/>
            <w:vMerge w:val="restart"/>
            <w:tcBorders>
              <w:top w:val="single" w:sz="4" w:space="0" w:color="auto"/>
              <w:bottom w:val="single" w:sz="4" w:space="0" w:color="auto"/>
              <w:right w:val="single" w:sz="4" w:space="0" w:color="auto"/>
            </w:tcBorders>
            <w:vAlign w:val="center"/>
          </w:tcPr>
          <w:p w14:paraId="407AC465" w14:textId="77777777" w:rsidR="00262562" w:rsidRDefault="00835EB6" w:rsidP="004326B1">
            <w:pPr>
              <w:jc w:val="center"/>
            </w:pPr>
            <w:r w:rsidRPr="00FB3BF6">
              <w:rPr>
                <w:rFonts w:eastAsia="Times New Roman" w:cs="Times New Roman"/>
                <w:noProof/>
                <w:color w:val="FF0000"/>
                <w:sz w:val="20"/>
                <w:szCs w:val="20"/>
                <w:highlight w:val="yellow"/>
              </w:rPr>
              <w:t>&gt;&gt;</w:t>
            </w:r>
            <w:r w:rsidR="00D17C6F" w:rsidRPr="00FB3BF6">
              <w:rPr>
                <w:rFonts w:eastAsia="Times New Roman" w:cs="Times New Roman"/>
                <w:noProof/>
                <w:color w:val="FF0000"/>
                <w:sz w:val="20"/>
                <w:szCs w:val="20"/>
                <w:highlight w:val="yellow"/>
              </w:rPr>
              <w:t xml:space="preserve">Insert your </w:t>
            </w:r>
            <w:r w:rsidR="009244A0">
              <w:rPr>
                <w:rFonts w:eastAsia="Times New Roman" w:cs="Times New Roman"/>
                <w:noProof/>
                <w:color w:val="FF0000"/>
                <w:sz w:val="20"/>
                <w:szCs w:val="20"/>
                <w:highlight w:val="yellow"/>
              </w:rPr>
              <w:t>a</w:t>
            </w:r>
            <w:r w:rsidR="00D17C6F" w:rsidRPr="00FB3BF6">
              <w:rPr>
                <w:rFonts w:eastAsia="Times New Roman" w:cs="Times New Roman"/>
                <w:noProof/>
                <w:color w:val="FF0000"/>
                <w:sz w:val="20"/>
                <w:szCs w:val="20"/>
                <w:highlight w:val="yellow"/>
              </w:rPr>
              <w:t xml:space="preserve">gency’s </w:t>
            </w:r>
            <w:r w:rsidRPr="00FB3BF6">
              <w:rPr>
                <w:rFonts w:eastAsia="Times New Roman" w:cs="Times New Roman"/>
                <w:noProof/>
                <w:color w:val="FF0000"/>
                <w:sz w:val="20"/>
                <w:szCs w:val="20"/>
                <w:highlight w:val="yellow"/>
              </w:rPr>
              <w:t>LOGO</w:t>
            </w:r>
            <w:r w:rsidR="00D17C6F" w:rsidRPr="00FB3BF6">
              <w:rPr>
                <w:rFonts w:eastAsia="Times New Roman" w:cs="Times New Roman"/>
                <w:noProof/>
                <w:color w:val="FF0000"/>
                <w:sz w:val="20"/>
                <w:szCs w:val="20"/>
                <w:highlight w:val="yellow"/>
              </w:rPr>
              <w:t xml:space="preserve"> </w:t>
            </w:r>
            <w:r w:rsidR="004326B1">
              <w:rPr>
                <w:rFonts w:eastAsia="Times New Roman" w:cs="Times New Roman"/>
                <w:noProof/>
                <w:color w:val="FF0000"/>
                <w:sz w:val="20"/>
                <w:szCs w:val="20"/>
                <w:highlight w:val="yellow"/>
              </w:rPr>
              <w:t>h</w:t>
            </w:r>
            <w:r w:rsidR="00D17C6F" w:rsidRPr="00FB3BF6">
              <w:rPr>
                <w:rFonts w:eastAsia="Times New Roman" w:cs="Times New Roman"/>
                <w:noProof/>
                <w:color w:val="FF0000"/>
                <w:sz w:val="20"/>
                <w:szCs w:val="20"/>
                <w:highlight w:val="yellow"/>
              </w:rPr>
              <w:t>ere</w:t>
            </w:r>
            <w:r w:rsidRPr="00FB3BF6">
              <w:rPr>
                <w:rFonts w:eastAsia="Times New Roman" w:cs="Times New Roman"/>
                <w:noProof/>
                <w:color w:val="FF0000"/>
                <w:sz w:val="20"/>
                <w:szCs w:val="20"/>
                <w:highlight w:val="yellow"/>
              </w:rPr>
              <w:t>&lt;&lt;</w:t>
            </w:r>
          </w:p>
        </w:tc>
        <w:tc>
          <w:tcPr>
            <w:tcW w:w="8730" w:type="dxa"/>
            <w:gridSpan w:val="7"/>
            <w:tcBorders>
              <w:top w:val="single" w:sz="4" w:space="0" w:color="auto"/>
              <w:left w:val="nil"/>
              <w:bottom w:val="single" w:sz="4" w:space="0" w:color="auto"/>
            </w:tcBorders>
            <w:shd w:val="pct20" w:color="000000" w:fill="FFFFFF"/>
            <w:vAlign w:val="bottom"/>
          </w:tcPr>
          <w:p w14:paraId="40CD29DD" w14:textId="77777777" w:rsidR="00262562" w:rsidRPr="00D17C6F" w:rsidRDefault="00835EB6" w:rsidP="00A10994">
            <w:pPr>
              <w:jc w:val="center"/>
              <w:rPr>
                <w:b/>
                <w:color w:val="FF0000"/>
                <w:sz w:val="40"/>
              </w:rPr>
            </w:pPr>
            <w:r w:rsidRPr="00FB3BF6">
              <w:rPr>
                <w:b/>
                <w:color w:val="FF0000"/>
                <w:sz w:val="40"/>
                <w:highlight w:val="yellow"/>
              </w:rPr>
              <w:t>&gt;&gt;Agency Policy Number&lt;&lt;</w:t>
            </w:r>
          </w:p>
        </w:tc>
      </w:tr>
      <w:tr w:rsidR="00262562" w14:paraId="46C9BDB3" w14:textId="77777777" w:rsidTr="00A721F0">
        <w:trPr>
          <w:cantSplit/>
        </w:trPr>
        <w:tc>
          <w:tcPr>
            <w:tcW w:w="1890" w:type="dxa"/>
            <w:vMerge/>
            <w:tcBorders>
              <w:top w:val="nil"/>
              <w:bottom w:val="single" w:sz="4" w:space="0" w:color="auto"/>
              <w:right w:val="single" w:sz="4" w:space="0" w:color="auto"/>
            </w:tcBorders>
          </w:tcPr>
          <w:p w14:paraId="3AC13F63" w14:textId="77777777" w:rsidR="00262562" w:rsidRDefault="00262562" w:rsidP="00A721F0"/>
        </w:tc>
        <w:tc>
          <w:tcPr>
            <w:tcW w:w="6750" w:type="dxa"/>
            <w:gridSpan w:val="5"/>
            <w:tcBorders>
              <w:top w:val="nil"/>
              <w:left w:val="nil"/>
              <w:bottom w:val="single" w:sz="4" w:space="0" w:color="auto"/>
              <w:right w:val="single" w:sz="4" w:space="0" w:color="auto"/>
            </w:tcBorders>
          </w:tcPr>
          <w:p w14:paraId="22A98C36" w14:textId="77777777" w:rsidR="00262562" w:rsidRPr="002C5BA3" w:rsidRDefault="00262562" w:rsidP="00A721F0">
            <w:pPr>
              <w:rPr>
                <w:sz w:val="16"/>
              </w:rPr>
            </w:pPr>
            <w:r w:rsidRPr="002C5BA3">
              <w:rPr>
                <w:sz w:val="16"/>
              </w:rPr>
              <w:t>Title / Subject</w:t>
            </w:r>
          </w:p>
          <w:p w14:paraId="5D74C5E3" w14:textId="77777777" w:rsidR="00262562" w:rsidRPr="002C5BA3" w:rsidRDefault="00262562" w:rsidP="00A721F0">
            <w:pPr>
              <w:pStyle w:val="Heading7"/>
              <w:jc w:val="center"/>
              <w:rPr>
                <w:rFonts w:ascii="Arial" w:hAnsi="Arial" w:cs="Arial"/>
                <w:b/>
                <w:i w:val="0"/>
                <w:color w:val="auto"/>
                <w:sz w:val="24"/>
                <w:szCs w:val="24"/>
              </w:rPr>
            </w:pPr>
            <w:r w:rsidRPr="002C5BA3">
              <w:rPr>
                <w:rFonts w:ascii="Arial" w:hAnsi="Arial" w:cs="Arial"/>
                <w:b/>
                <w:i w:val="0"/>
                <w:color w:val="auto"/>
                <w:sz w:val="24"/>
                <w:szCs w:val="24"/>
              </w:rPr>
              <w:t>SEXUAL ASSAULT INVESTIGATIONS</w:t>
            </w:r>
          </w:p>
        </w:tc>
        <w:tc>
          <w:tcPr>
            <w:tcW w:w="990" w:type="dxa"/>
            <w:tcBorders>
              <w:top w:val="nil"/>
              <w:left w:val="nil"/>
              <w:bottom w:val="single" w:sz="4" w:space="0" w:color="auto"/>
              <w:right w:val="single" w:sz="4" w:space="0" w:color="auto"/>
            </w:tcBorders>
            <w:vAlign w:val="center"/>
          </w:tcPr>
          <w:p w14:paraId="63D8803C" w14:textId="77777777" w:rsidR="00262562" w:rsidRDefault="00262562" w:rsidP="00A721F0">
            <w:pPr>
              <w:jc w:val="center"/>
              <w:rPr>
                <w:sz w:val="14"/>
              </w:rPr>
            </w:pPr>
            <w:r>
              <w:rPr>
                <w:sz w:val="14"/>
              </w:rPr>
              <w:t>EFFECTIVE DATE</w:t>
            </w:r>
          </w:p>
          <w:p w14:paraId="03BC77C9" w14:textId="77777777" w:rsidR="00262562" w:rsidRDefault="00262562" w:rsidP="00A721F0">
            <w:pPr>
              <w:jc w:val="center"/>
              <w:rPr>
                <w:sz w:val="14"/>
              </w:rPr>
            </w:pPr>
          </w:p>
          <w:p w14:paraId="704C0267" w14:textId="77777777" w:rsidR="00262562" w:rsidRPr="00D17C6F" w:rsidRDefault="00E24CC6" w:rsidP="002C5BA3">
            <w:pPr>
              <w:jc w:val="center"/>
              <w:rPr>
                <w:color w:val="FF0000"/>
                <w:sz w:val="14"/>
              </w:rPr>
            </w:pPr>
            <w:r w:rsidRPr="00FB3BF6">
              <w:rPr>
                <w:sz w:val="14"/>
                <w:highlight w:val="yellow"/>
              </w:rPr>
              <w:t>TBD</w:t>
            </w:r>
          </w:p>
        </w:tc>
        <w:tc>
          <w:tcPr>
            <w:tcW w:w="990" w:type="dxa"/>
            <w:tcBorders>
              <w:top w:val="nil"/>
              <w:left w:val="nil"/>
              <w:bottom w:val="single" w:sz="4" w:space="0" w:color="auto"/>
            </w:tcBorders>
            <w:vAlign w:val="center"/>
          </w:tcPr>
          <w:p w14:paraId="2F0525F3" w14:textId="77777777" w:rsidR="00262562" w:rsidRDefault="00262562" w:rsidP="00A721F0">
            <w:pPr>
              <w:jc w:val="center"/>
              <w:rPr>
                <w:sz w:val="14"/>
              </w:rPr>
            </w:pPr>
            <w:r>
              <w:rPr>
                <w:sz w:val="14"/>
              </w:rPr>
              <w:t>REVISION DATE</w:t>
            </w:r>
          </w:p>
          <w:p w14:paraId="738DB0EB" w14:textId="77777777" w:rsidR="00262562" w:rsidRDefault="00262562" w:rsidP="00A721F0">
            <w:pPr>
              <w:jc w:val="center"/>
              <w:rPr>
                <w:sz w:val="18"/>
              </w:rPr>
            </w:pPr>
          </w:p>
          <w:p w14:paraId="1DC918D1" w14:textId="77777777" w:rsidR="00262562" w:rsidRDefault="00262562" w:rsidP="00A721F0">
            <w:pPr>
              <w:jc w:val="center"/>
              <w:rPr>
                <w:sz w:val="18"/>
              </w:rPr>
            </w:pPr>
          </w:p>
        </w:tc>
      </w:tr>
      <w:tr w:rsidR="00262562" w14:paraId="391FBE44" w14:textId="77777777" w:rsidTr="00A721F0">
        <w:trPr>
          <w:cantSplit/>
        </w:trPr>
        <w:tc>
          <w:tcPr>
            <w:tcW w:w="1890" w:type="dxa"/>
            <w:vMerge/>
            <w:tcBorders>
              <w:top w:val="nil"/>
              <w:bottom w:val="single" w:sz="4" w:space="0" w:color="auto"/>
              <w:right w:val="single" w:sz="4" w:space="0" w:color="auto"/>
            </w:tcBorders>
          </w:tcPr>
          <w:p w14:paraId="447F6993" w14:textId="77777777" w:rsidR="00262562" w:rsidRDefault="00262562" w:rsidP="00A721F0"/>
        </w:tc>
        <w:tc>
          <w:tcPr>
            <w:tcW w:w="6750" w:type="dxa"/>
            <w:gridSpan w:val="5"/>
            <w:tcBorders>
              <w:top w:val="single" w:sz="4" w:space="0" w:color="auto"/>
              <w:left w:val="nil"/>
              <w:bottom w:val="single" w:sz="4" w:space="0" w:color="auto"/>
            </w:tcBorders>
            <w:vAlign w:val="bottom"/>
          </w:tcPr>
          <w:p w14:paraId="6701F54E" w14:textId="77777777" w:rsidR="00262562" w:rsidRDefault="00262562" w:rsidP="00A721F0">
            <w:pPr>
              <w:rPr>
                <w:sz w:val="16"/>
              </w:rPr>
            </w:pPr>
            <w:r>
              <w:rPr>
                <w:sz w:val="16"/>
              </w:rPr>
              <w:t>REFERENCES</w:t>
            </w:r>
          </w:p>
        </w:tc>
        <w:tc>
          <w:tcPr>
            <w:tcW w:w="1980" w:type="dxa"/>
            <w:gridSpan w:val="2"/>
            <w:tcBorders>
              <w:top w:val="nil"/>
              <w:left w:val="single" w:sz="4" w:space="0" w:color="auto"/>
              <w:bottom w:val="nil"/>
            </w:tcBorders>
            <w:vAlign w:val="bottom"/>
          </w:tcPr>
          <w:p w14:paraId="512CA76C" w14:textId="77777777" w:rsidR="00262562" w:rsidRDefault="00262562" w:rsidP="00A721F0">
            <w:pPr>
              <w:rPr>
                <w:sz w:val="16"/>
              </w:rPr>
            </w:pPr>
            <w:r>
              <w:rPr>
                <w:sz w:val="16"/>
              </w:rPr>
              <w:t>DISTRIBUTION</w:t>
            </w:r>
          </w:p>
        </w:tc>
      </w:tr>
      <w:tr w:rsidR="008C25AA" w14:paraId="785A2A9B" w14:textId="77777777" w:rsidTr="00BB7D17">
        <w:trPr>
          <w:cantSplit/>
        </w:trPr>
        <w:tc>
          <w:tcPr>
            <w:tcW w:w="1890" w:type="dxa"/>
            <w:vMerge/>
            <w:tcBorders>
              <w:top w:val="nil"/>
              <w:bottom w:val="single" w:sz="4" w:space="0" w:color="auto"/>
              <w:right w:val="single" w:sz="4" w:space="0" w:color="auto"/>
            </w:tcBorders>
          </w:tcPr>
          <w:p w14:paraId="11D2FCFD" w14:textId="77777777" w:rsidR="008C25AA" w:rsidRDefault="008C25AA" w:rsidP="008C25AA"/>
        </w:tc>
        <w:tc>
          <w:tcPr>
            <w:tcW w:w="1440" w:type="dxa"/>
            <w:tcBorders>
              <w:top w:val="single" w:sz="4" w:space="0" w:color="auto"/>
              <w:left w:val="nil"/>
              <w:bottom w:val="nil"/>
              <w:right w:val="single" w:sz="4" w:space="0" w:color="auto"/>
            </w:tcBorders>
            <w:vAlign w:val="bottom"/>
          </w:tcPr>
          <w:p w14:paraId="664037EC" w14:textId="77777777" w:rsidR="008C25AA" w:rsidRPr="002221C7" w:rsidRDefault="00265C06" w:rsidP="008C25AA">
            <w:pPr>
              <w:rPr>
                <w:sz w:val="18"/>
              </w:rPr>
            </w:pPr>
            <w:r>
              <w:rPr>
                <w:sz w:val="18"/>
              </w:rPr>
              <w:t>KRS 15.247</w:t>
            </w:r>
          </w:p>
        </w:tc>
        <w:tc>
          <w:tcPr>
            <w:tcW w:w="1620" w:type="dxa"/>
            <w:tcBorders>
              <w:top w:val="single" w:sz="4" w:space="0" w:color="auto"/>
              <w:left w:val="nil"/>
              <w:bottom w:val="nil"/>
              <w:right w:val="single" w:sz="4" w:space="0" w:color="auto"/>
            </w:tcBorders>
            <w:vAlign w:val="bottom"/>
          </w:tcPr>
          <w:p w14:paraId="48AE338C" w14:textId="77777777" w:rsidR="008C25AA" w:rsidRPr="002221C7" w:rsidRDefault="00265C06" w:rsidP="008C25AA">
            <w:pPr>
              <w:rPr>
                <w:sz w:val="18"/>
              </w:rPr>
            </w:pPr>
            <w:r>
              <w:rPr>
                <w:sz w:val="18"/>
              </w:rPr>
              <w:t>KRS 17.175</w:t>
            </w:r>
          </w:p>
        </w:tc>
        <w:tc>
          <w:tcPr>
            <w:tcW w:w="1620" w:type="dxa"/>
            <w:tcBorders>
              <w:top w:val="single" w:sz="4" w:space="0" w:color="auto"/>
              <w:left w:val="nil"/>
              <w:bottom w:val="nil"/>
              <w:right w:val="single" w:sz="4" w:space="0" w:color="auto"/>
            </w:tcBorders>
            <w:vAlign w:val="bottom"/>
          </w:tcPr>
          <w:p w14:paraId="5DFC6164" w14:textId="77777777" w:rsidR="008C25AA" w:rsidRPr="002221C7" w:rsidRDefault="00265C06" w:rsidP="008C25AA">
            <w:pPr>
              <w:rPr>
                <w:sz w:val="18"/>
              </w:rPr>
            </w:pPr>
            <w:r>
              <w:rPr>
                <w:sz w:val="18"/>
              </w:rPr>
              <w:t>502 KAR 12:010</w:t>
            </w:r>
          </w:p>
        </w:tc>
        <w:tc>
          <w:tcPr>
            <w:tcW w:w="1125" w:type="dxa"/>
            <w:tcBorders>
              <w:top w:val="single" w:sz="4" w:space="0" w:color="auto"/>
              <w:left w:val="single" w:sz="4" w:space="0" w:color="auto"/>
              <w:bottom w:val="nil"/>
              <w:right w:val="nil"/>
            </w:tcBorders>
            <w:vAlign w:val="bottom"/>
          </w:tcPr>
          <w:p w14:paraId="363129DF" w14:textId="77777777" w:rsidR="008C25AA" w:rsidRPr="002221C7" w:rsidRDefault="008C25AA" w:rsidP="008C25AA">
            <w:pPr>
              <w:rPr>
                <w:sz w:val="18"/>
              </w:rPr>
            </w:pPr>
          </w:p>
        </w:tc>
        <w:tc>
          <w:tcPr>
            <w:tcW w:w="945" w:type="dxa"/>
            <w:tcBorders>
              <w:top w:val="single" w:sz="4" w:space="0" w:color="auto"/>
              <w:left w:val="nil"/>
              <w:bottom w:val="nil"/>
            </w:tcBorders>
            <w:vAlign w:val="bottom"/>
          </w:tcPr>
          <w:p w14:paraId="1720231C" w14:textId="77777777" w:rsidR="008C25AA" w:rsidRPr="002221C7" w:rsidRDefault="008C25AA" w:rsidP="008C25AA">
            <w:pPr>
              <w:rPr>
                <w:sz w:val="16"/>
              </w:rPr>
            </w:pPr>
          </w:p>
        </w:tc>
        <w:tc>
          <w:tcPr>
            <w:tcW w:w="1980" w:type="dxa"/>
            <w:gridSpan w:val="2"/>
            <w:tcBorders>
              <w:top w:val="nil"/>
              <w:left w:val="single" w:sz="4" w:space="0" w:color="auto"/>
              <w:bottom w:val="single" w:sz="4" w:space="0" w:color="auto"/>
            </w:tcBorders>
            <w:vAlign w:val="bottom"/>
          </w:tcPr>
          <w:p w14:paraId="46EFAD82" w14:textId="77777777" w:rsidR="008C25AA" w:rsidRDefault="008C25AA" w:rsidP="008C25AA">
            <w:pPr>
              <w:rPr>
                <w:sz w:val="18"/>
              </w:rPr>
            </w:pPr>
            <w:r>
              <w:rPr>
                <w:sz w:val="18"/>
              </w:rPr>
              <w:t>Sworn personnel</w:t>
            </w:r>
          </w:p>
          <w:p w14:paraId="73E020E0" w14:textId="77777777" w:rsidR="008C25AA" w:rsidRDefault="008C25AA" w:rsidP="008C25AA">
            <w:pPr>
              <w:rPr>
                <w:sz w:val="18"/>
              </w:rPr>
            </w:pPr>
            <w:r>
              <w:rPr>
                <w:sz w:val="18"/>
              </w:rPr>
              <w:t>Telecommunicators</w:t>
            </w:r>
          </w:p>
        </w:tc>
      </w:tr>
      <w:tr w:rsidR="008C25AA" w14:paraId="1881714F" w14:textId="77777777" w:rsidTr="00BB7D17">
        <w:trPr>
          <w:cantSplit/>
        </w:trPr>
        <w:tc>
          <w:tcPr>
            <w:tcW w:w="1890" w:type="dxa"/>
            <w:vMerge/>
            <w:tcBorders>
              <w:top w:val="nil"/>
              <w:bottom w:val="single" w:sz="4" w:space="0" w:color="auto"/>
              <w:right w:val="single" w:sz="4" w:space="0" w:color="auto"/>
            </w:tcBorders>
          </w:tcPr>
          <w:p w14:paraId="3621789E" w14:textId="77777777" w:rsidR="008C25AA" w:rsidRDefault="008C25AA" w:rsidP="008C25AA"/>
        </w:tc>
        <w:tc>
          <w:tcPr>
            <w:tcW w:w="1440" w:type="dxa"/>
            <w:tcBorders>
              <w:top w:val="nil"/>
              <w:left w:val="nil"/>
              <w:bottom w:val="single" w:sz="4" w:space="0" w:color="auto"/>
              <w:right w:val="single" w:sz="4" w:space="0" w:color="auto"/>
            </w:tcBorders>
            <w:vAlign w:val="bottom"/>
          </w:tcPr>
          <w:p w14:paraId="3D1D0610" w14:textId="77777777" w:rsidR="008C25AA" w:rsidRPr="002221C7" w:rsidRDefault="00265C06" w:rsidP="008C25AA">
            <w:pPr>
              <w:rPr>
                <w:sz w:val="18"/>
              </w:rPr>
            </w:pPr>
            <w:r>
              <w:rPr>
                <w:sz w:val="18"/>
              </w:rPr>
              <w:t>KRS 15.440</w:t>
            </w:r>
          </w:p>
        </w:tc>
        <w:tc>
          <w:tcPr>
            <w:tcW w:w="1620" w:type="dxa"/>
            <w:tcBorders>
              <w:top w:val="nil"/>
              <w:left w:val="nil"/>
              <w:bottom w:val="single" w:sz="4" w:space="0" w:color="auto"/>
              <w:right w:val="single" w:sz="4" w:space="0" w:color="auto"/>
            </w:tcBorders>
            <w:vAlign w:val="bottom"/>
          </w:tcPr>
          <w:p w14:paraId="1D7E644A" w14:textId="77777777" w:rsidR="008C25AA" w:rsidRPr="002221C7" w:rsidRDefault="00265C06" w:rsidP="008C25AA">
            <w:pPr>
              <w:rPr>
                <w:sz w:val="18"/>
              </w:rPr>
            </w:pPr>
            <w:r>
              <w:rPr>
                <w:sz w:val="18"/>
              </w:rPr>
              <w:t>KRS 216B.400</w:t>
            </w:r>
          </w:p>
        </w:tc>
        <w:tc>
          <w:tcPr>
            <w:tcW w:w="1620" w:type="dxa"/>
            <w:tcBorders>
              <w:top w:val="nil"/>
              <w:left w:val="nil"/>
              <w:bottom w:val="single" w:sz="4" w:space="0" w:color="auto"/>
              <w:right w:val="single" w:sz="4" w:space="0" w:color="auto"/>
            </w:tcBorders>
            <w:vAlign w:val="bottom"/>
          </w:tcPr>
          <w:p w14:paraId="14DA2182" w14:textId="77777777" w:rsidR="008C25AA" w:rsidRPr="002221C7" w:rsidRDefault="00265C06" w:rsidP="008C25AA">
            <w:pPr>
              <w:rPr>
                <w:sz w:val="18"/>
              </w:rPr>
            </w:pPr>
            <w:r>
              <w:rPr>
                <w:sz w:val="18"/>
              </w:rPr>
              <w:t>502 KAR 20:020</w:t>
            </w:r>
          </w:p>
        </w:tc>
        <w:tc>
          <w:tcPr>
            <w:tcW w:w="1125" w:type="dxa"/>
            <w:tcBorders>
              <w:top w:val="nil"/>
              <w:left w:val="single" w:sz="4" w:space="0" w:color="auto"/>
              <w:bottom w:val="single" w:sz="4" w:space="0" w:color="auto"/>
              <w:right w:val="nil"/>
            </w:tcBorders>
            <w:vAlign w:val="bottom"/>
          </w:tcPr>
          <w:p w14:paraId="0F443BAA" w14:textId="77777777" w:rsidR="008C25AA" w:rsidRPr="002221C7" w:rsidRDefault="008C25AA" w:rsidP="008C25AA">
            <w:pPr>
              <w:rPr>
                <w:sz w:val="16"/>
              </w:rPr>
            </w:pPr>
          </w:p>
        </w:tc>
        <w:tc>
          <w:tcPr>
            <w:tcW w:w="945" w:type="dxa"/>
            <w:tcBorders>
              <w:top w:val="nil"/>
              <w:left w:val="nil"/>
              <w:bottom w:val="single" w:sz="4" w:space="0" w:color="auto"/>
            </w:tcBorders>
            <w:vAlign w:val="bottom"/>
          </w:tcPr>
          <w:p w14:paraId="47B1AE84" w14:textId="77777777" w:rsidR="008C25AA" w:rsidRPr="002221C7" w:rsidRDefault="008C25AA" w:rsidP="008C25AA">
            <w:pPr>
              <w:rPr>
                <w:sz w:val="16"/>
              </w:rPr>
            </w:pPr>
          </w:p>
        </w:tc>
        <w:tc>
          <w:tcPr>
            <w:tcW w:w="1980" w:type="dxa"/>
            <w:gridSpan w:val="2"/>
            <w:tcBorders>
              <w:top w:val="nil"/>
              <w:left w:val="single" w:sz="4" w:space="0" w:color="auto"/>
              <w:bottom w:val="single" w:sz="4" w:space="0" w:color="auto"/>
            </w:tcBorders>
            <w:vAlign w:val="bottom"/>
          </w:tcPr>
          <w:p w14:paraId="0680DBEB" w14:textId="77777777" w:rsidR="008C25AA" w:rsidRDefault="008C25AA" w:rsidP="008C25AA">
            <w:pPr>
              <w:rPr>
                <w:i/>
                <w:sz w:val="16"/>
              </w:rPr>
            </w:pPr>
            <w:r>
              <w:rPr>
                <w:i/>
                <w:sz w:val="16"/>
              </w:rPr>
              <w:t>REPORT:</w:t>
            </w:r>
            <w:r w:rsidR="00D17C6F">
              <w:rPr>
                <w:i/>
                <w:sz w:val="16"/>
              </w:rPr>
              <w:t xml:space="preserve"> </w:t>
            </w:r>
            <w:bookmarkStart w:id="0" w:name="Check2"/>
            <w:r w:rsidR="00742F23">
              <w:rPr>
                <w:i/>
                <w:sz w:val="16"/>
              </w:rPr>
              <w:fldChar w:fldCharType="begin">
                <w:ffData>
                  <w:name w:val="Check2"/>
                  <w:enabled/>
                  <w:calcOnExit w:val="0"/>
                  <w:checkBox>
                    <w:sizeAuto/>
                    <w:default w:val="0"/>
                  </w:checkBox>
                </w:ffData>
              </w:fldChar>
            </w:r>
            <w:r>
              <w:rPr>
                <w:i/>
                <w:sz w:val="16"/>
              </w:rPr>
              <w:instrText xml:space="preserve"> FORMCHECKBOX </w:instrText>
            </w:r>
            <w:r w:rsidR="00000000">
              <w:rPr>
                <w:i/>
                <w:sz w:val="16"/>
              </w:rPr>
            </w:r>
            <w:r w:rsidR="00000000">
              <w:rPr>
                <w:i/>
                <w:sz w:val="16"/>
              </w:rPr>
              <w:fldChar w:fldCharType="separate"/>
            </w:r>
            <w:r w:rsidR="00742F23">
              <w:rPr>
                <w:i/>
                <w:sz w:val="16"/>
              </w:rPr>
              <w:fldChar w:fldCharType="end"/>
            </w:r>
            <w:bookmarkEnd w:id="0"/>
          </w:p>
        </w:tc>
      </w:tr>
    </w:tbl>
    <w:p w14:paraId="38E49A3F" w14:textId="77777777" w:rsidR="00262562" w:rsidRPr="00A10994" w:rsidRDefault="00262562" w:rsidP="00262562">
      <w:pPr>
        <w:tabs>
          <w:tab w:val="left" w:pos="1821"/>
        </w:tabs>
        <w:ind w:right="360"/>
        <w:rPr>
          <w:b/>
          <w:sz w:val="24"/>
          <w:szCs w:val="24"/>
          <w:u w:val="single"/>
        </w:rPr>
      </w:pPr>
      <w:bookmarkStart w:id="1" w:name="_bookmark0"/>
      <w:bookmarkEnd w:id="1"/>
    </w:p>
    <w:p w14:paraId="34FE45B8" w14:textId="77777777" w:rsidR="00262562" w:rsidRPr="00D17C6F" w:rsidRDefault="00262562" w:rsidP="00262562">
      <w:pPr>
        <w:tabs>
          <w:tab w:val="left" w:pos="1821"/>
        </w:tabs>
        <w:ind w:right="360"/>
        <w:rPr>
          <w:b/>
          <w:sz w:val="24"/>
          <w:szCs w:val="24"/>
          <w:u w:val="single"/>
        </w:rPr>
      </w:pPr>
      <w:r w:rsidRPr="00D17C6F">
        <w:rPr>
          <w:b/>
          <w:sz w:val="24"/>
          <w:szCs w:val="24"/>
          <w:u w:val="single"/>
        </w:rPr>
        <w:t>PURPOSE</w:t>
      </w:r>
    </w:p>
    <w:p w14:paraId="19C56DBA" w14:textId="77777777" w:rsidR="00262562" w:rsidRPr="00D17C6F" w:rsidRDefault="00262562" w:rsidP="00262562">
      <w:pPr>
        <w:tabs>
          <w:tab w:val="left" w:pos="1821"/>
        </w:tabs>
        <w:ind w:right="360"/>
        <w:rPr>
          <w:b/>
          <w:sz w:val="24"/>
          <w:szCs w:val="24"/>
        </w:rPr>
      </w:pPr>
    </w:p>
    <w:p w14:paraId="460F2FCB" w14:textId="77777777" w:rsidR="00DD46C3" w:rsidRPr="00D17C6F" w:rsidRDefault="00262562" w:rsidP="00262562">
      <w:pPr>
        <w:tabs>
          <w:tab w:val="left" w:pos="1821"/>
        </w:tabs>
        <w:ind w:right="360"/>
        <w:rPr>
          <w:sz w:val="24"/>
          <w:szCs w:val="24"/>
        </w:rPr>
      </w:pPr>
      <w:r w:rsidRPr="00D17C6F">
        <w:rPr>
          <w:sz w:val="24"/>
          <w:szCs w:val="24"/>
        </w:rPr>
        <w:t xml:space="preserve">The purpose of this </w:t>
      </w:r>
      <w:r w:rsidR="0094773A" w:rsidRPr="00D17C6F">
        <w:rPr>
          <w:sz w:val="24"/>
          <w:szCs w:val="24"/>
        </w:rPr>
        <w:t>general order</w:t>
      </w:r>
      <w:r w:rsidRPr="00D17C6F">
        <w:rPr>
          <w:sz w:val="24"/>
          <w:szCs w:val="24"/>
        </w:rPr>
        <w:t xml:space="preserve"> is to provide sexual assault investigators</w:t>
      </w:r>
      <w:r w:rsidR="00D17C6F" w:rsidRPr="00D17C6F">
        <w:rPr>
          <w:sz w:val="24"/>
          <w:szCs w:val="24"/>
        </w:rPr>
        <w:t xml:space="preserve"> </w:t>
      </w:r>
      <w:r w:rsidRPr="00D17C6F">
        <w:rPr>
          <w:sz w:val="24"/>
          <w:szCs w:val="24"/>
        </w:rPr>
        <w:t xml:space="preserve">with guidelines for responding to reports of sexual assault, assisting victims, collaborating with local health and </w:t>
      </w:r>
      <w:r w:rsidR="00CF2800" w:rsidRPr="00D17C6F">
        <w:rPr>
          <w:sz w:val="24"/>
          <w:szCs w:val="24"/>
        </w:rPr>
        <w:t xml:space="preserve">victim </w:t>
      </w:r>
      <w:r w:rsidRPr="00D17C6F">
        <w:rPr>
          <w:sz w:val="24"/>
          <w:szCs w:val="24"/>
        </w:rPr>
        <w:t>service agencies, submitting evidence for laboratory testing</w:t>
      </w:r>
      <w:r w:rsidR="009A0766" w:rsidRPr="00D17C6F">
        <w:rPr>
          <w:sz w:val="24"/>
          <w:szCs w:val="24"/>
        </w:rPr>
        <w:t>,</w:t>
      </w:r>
      <w:r w:rsidR="00D17C6F" w:rsidRPr="00D17C6F">
        <w:rPr>
          <w:sz w:val="24"/>
          <w:szCs w:val="24"/>
        </w:rPr>
        <w:t xml:space="preserve"> </w:t>
      </w:r>
      <w:r w:rsidR="00DD46C3" w:rsidRPr="00D17C6F">
        <w:rPr>
          <w:sz w:val="24"/>
          <w:szCs w:val="24"/>
        </w:rPr>
        <w:t xml:space="preserve">and </w:t>
      </w:r>
      <w:r w:rsidRPr="00D17C6F">
        <w:rPr>
          <w:sz w:val="24"/>
          <w:szCs w:val="24"/>
        </w:rPr>
        <w:t>keeping victims notified</w:t>
      </w:r>
      <w:r w:rsidR="00DD46C3" w:rsidRPr="00D17C6F">
        <w:rPr>
          <w:sz w:val="24"/>
          <w:szCs w:val="24"/>
        </w:rPr>
        <w:t>.</w:t>
      </w:r>
    </w:p>
    <w:p w14:paraId="4FA95390" w14:textId="77777777" w:rsidR="00262562" w:rsidRPr="00D17C6F" w:rsidRDefault="00262562" w:rsidP="00262562">
      <w:pPr>
        <w:tabs>
          <w:tab w:val="left" w:pos="1821"/>
        </w:tabs>
        <w:ind w:right="360"/>
        <w:rPr>
          <w:strike/>
          <w:sz w:val="24"/>
          <w:szCs w:val="24"/>
        </w:rPr>
      </w:pPr>
    </w:p>
    <w:p w14:paraId="2DF7ACD5" w14:textId="77777777" w:rsidR="00262562" w:rsidRPr="00D17C6F" w:rsidRDefault="00262562" w:rsidP="00262562">
      <w:pPr>
        <w:tabs>
          <w:tab w:val="left" w:pos="1821"/>
        </w:tabs>
        <w:ind w:right="360"/>
        <w:rPr>
          <w:b/>
          <w:sz w:val="24"/>
          <w:szCs w:val="24"/>
          <w:u w:val="single"/>
        </w:rPr>
      </w:pPr>
      <w:r w:rsidRPr="00D17C6F">
        <w:rPr>
          <w:b/>
          <w:sz w:val="24"/>
          <w:szCs w:val="24"/>
          <w:u w:val="single"/>
        </w:rPr>
        <w:t>POLICY</w:t>
      </w:r>
    </w:p>
    <w:p w14:paraId="11AE21FA" w14:textId="77777777" w:rsidR="00262562" w:rsidRPr="00D17C6F" w:rsidRDefault="00262562" w:rsidP="00262562">
      <w:pPr>
        <w:tabs>
          <w:tab w:val="left" w:pos="1821"/>
        </w:tabs>
        <w:ind w:right="360"/>
        <w:rPr>
          <w:sz w:val="24"/>
          <w:szCs w:val="24"/>
        </w:rPr>
      </w:pPr>
    </w:p>
    <w:p w14:paraId="605A28F1" w14:textId="708BB1C1" w:rsidR="00262562" w:rsidRPr="00D17C6F" w:rsidRDefault="00262562" w:rsidP="00262562">
      <w:pPr>
        <w:tabs>
          <w:tab w:val="left" w:pos="1821"/>
        </w:tabs>
        <w:ind w:right="360"/>
        <w:rPr>
          <w:sz w:val="24"/>
          <w:szCs w:val="24"/>
        </w:rPr>
      </w:pPr>
      <w:r w:rsidRPr="00D17C6F">
        <w:rPr>
          <w:sz w:val="24"/>
          <w:szCs w:val="24"/>
        </w:rPr>
        <w:t xml:space="preserve">It is the policy of </w:t>
      </w:r>
      <w:r w:rsidR="0030165B" w:rsidRPr="00D17C6F">
        <w:rPr>
          <w:b/>
          <w:color w:val="FF0000"/>
          <w:sz w:val="24"/>
          <w:szCs w:val="24"/>
          <w:highlight w:val="yellow"/>
        </w:rPr>
        <w:t>&gt;&gt;insert agency name&lt;&lt;</w:t>
      </w:r>
      <w:r w:rsidRPr="00D17C6F">
        <w:rPr>
          <w:color w:val="FF0000"/>
          <w:sz w:val="24"/>
          <w:szCs w:val="24"/>
        </w:rPr>
        <w:t xml:space="preserve"> </w:t>
      </w:r>
      <w:r w:rsidRPr="00D17C6F">
        <w:rPr>
          <w:sz w:val="24"/>
          <w:szCs w:val="24"/>
        </w:rPr>
        <w:t>that all reported incidents of sexual assault are properly and ethically investigated in an unbiased and truth</w:t>
      </w:r>
      <w:r w:rsidR="00120418">
        <w:rPr>
          <w:sz w:val="24"/>
          <w:szCs w:val="24"/>
        </w:rPr>
        <w:t>-</w:t>
      </w:r>
      <w:r w:rsidRPr="00D17C6F">
        <w:rPr>
          <w:sz w:val="24"/>
          <w:szCs w:val="24"/>
        </w:rPr>
        <w:t>seeking manner that will support a fair and accurate decision in the criminal justice system.</w:t>
      </w:r>
      <w:r w:rsidR="00D17C6F" w:rsidRPr="00D17C6F">
        <w:rPr>
          <w:sz w:val="24"/>
          <w:szCs w:val="24"/>
        </w:rPr>
        <w:t xml:space="preserve"> </w:t>
      </w:r>
      <w:r w:rsidRPr="00D17C6F">
        <w:rPr>
          <w:sz w:val="24"/>
          <w:szCs w:val="24"/>
        </w:rPr>
        <w:t>A victim-centered approach includes investigation practices that focus on the actions and choices of the offender, not the actions or inactions of the victim.</w:t>
      </w:r>
      <w:r w:rsidR="00D17C6F" w:rsidRPr="00D17C6F">
        <w:rPr>
          <w:sz w:val="24"/>
          <w:szCs w:val="24"/>
        </w:rPr>
        <w:t xml:space="preserve"> </w:t>
      </w:r>
      <w:r w:rsidRPr="00D17C6F">
        <w:rPr>
          <w:sz w:val="24"/>
          <w:szCs w:val="24"/>
        </w:rPr>
        <w:t xml:space="preserve">Methods shall be employed throughout the investigation to reduce the physical and psychological trauma to the victim of sexual violence by responding in a compassionate, </w:t>
      </w:r>
      <w:proofErr w:type="gramStart"/>
      <w:r w:rsidRPr="00D17C6F">
        <w:rPr>
          <w:sz w:val="24"/>
          <w:szCs w:val="24"/>
        </w:rPr>
        <w:t>sensitive</w:t>
      </w:r>
      <w:proofErr w:type="gramEnd"/>
      <w:r w:rsidRPr="00D17C6F">
        <w:rPr>
          <w:sz w:val="24"/>
          <w:szCs w:val="24"/>
        </w:rPr>
        <w:t xml:space="preserve"> and non-judgmental manner.</w:t>
      </w:r>
    </w:p>
    <w:p w14:paraId="7DE19D6F" w14:textId="77777777" w:rsidR="0094773A" w:rsidRPr="00D17C6F" w:rsidRDefault="0094773A" w:rsidP="00262562">
      <w:pPr>
        <w:tabs>
          <w:tab w:val="left" w:pos="1821"/>
        </w:tabs>
        <w:ind w:right="360"/>
        <w:rPr>
          <w:sz w:val="24"/>
          <w:szCs w:val="24"/>
        </w:rPr>
      </w:pPr>
    </w:p>
    <w:p w14:paraId="53619D24" w14:textId="77777777" w:rsidR="00262562" w:rsidRPr="00D17C6F" w:rsidRDefault="00262562" w:rsidP="002C5BA3">
      <w:pPr>
        <w:pStyle w:val="BodyText"/>
        <w:ind w:left="-14" w:right="360" w:firstLine="14"/>
        <w:rPr>
          <w:b/>
          <w:u w:val="single"/>
        </w:rPr>
      </w:pPr>
      <w:r w:rsidRPr="00D17C6F">
        <w:rPr>
          <w:b/>
          <w:u w:val="single"/>
        </w:rPr>
        <w:t>DEFINITIONS</w:t>
      </w:r>
    </w:p>
    <w:p w14:paraId="62D6449E" w14:textId="77777777" w:rsidR="00262562" w:rsidRPr="00D17C6F" w:rsidRDefault="00262562" w:rsidP="002C5BA3">
      <w:pPr>
        <w:pStyle w:val="BodyText"/>
        <w:ind w:left="0" w:right="360" w:firstLine="0"/>
      </w:pPr>
    </w:p>
    <w:p w14:paraId="511359BC" w14:textId="5EB35A6B" w:rsidR="00082AAE" w:rsidRPr="00D17C6F" w:rsidRDefault="00082AAE" w:rsidP="00262562">
      <w:pPr>
        <w:pStyle w:val="BodyText"/>
        <w:numPr>
          <w:ilvl w:val="3"/>
          <w:numId w:val="1"/>
        </w:numPr>
        <w:ind w:left="360" w:right="360"/>
      </w:pPr>
      <w:r w:rsidRPr="00D17C6F">
        <w:rPr>
          <w:b/>
        </w:rPr>
        <w:t xml:space="preserve">Investigating </w:t>
      </w:r>
      <w:r w:rsidR="002A5DDE" w:rsidRPr="00D17C6F">
        <w:rPr>
          <w:b/>
        </w:rPr>
        <w:t>officer</w:t>
      </w:r>
      <w:r w:rsidR="002A5DDE" w:rsidRPr="00D17C6F">
        <w:t>: An</w:t>
      </w:r>
      <w:r w:rsidR="00D17C6F" w:rsidRPr="00D17C6F">
        <w:t xml:space="preserve"> </w:t>
      </w:r>
      <w:r w:rsidRPr="00D17C6F">
        <w:t xml:space="preserve">officer assigned to investigate the report of </w:t>
      </w:r>
      <w:r w:rsidR="00E137EB" w:rsidRPr="00D17C6F">
        <w:t xml:space="preserve">a </w:t>
      </w:r>
      <w:r w:rsidRPr="00D17C6F">
        <w:t xml:space="preserve">sexual assault. The investigating officer might be the responding </w:t>
      </w:r>
      <w:proofErr w:type="gramStart"/>
      <w:r w:rsidRPr="00D17C6F">
        <w:t>officer</w:t>
      </w:r>
      <w:proofErr w:type="gramEnd"/>
      <w:r w:rsidRPr="00D17C6F">
        <w:t xml:space="preserve"> or a detective as determined by th</w:t>
      </w:r>
      <w:r w:rsidR="0030165B" w:rsidRPr="00D17C6F">
        <w:t>e supervisor</w:t>
      </w:r>
      <w:r w:rsidRPr="00D17C6F">
        <w:t>.</w:t>
      </w:r>
      <w:r w:rsidR="00120418">
        <w:br/>
      </w:r>
    </w:p>
    <w:p w14:paraId="6E665032" w14:textId="21A0B23C" w:rsidR="00FE2EFD" w:rsidRPr="00D17C6F" w:rsidRDefault="00FE2EFD" w:rsidP="003177FB">
      <w:pPr>
        <w:pStyle w:val="BodyText"/>
        <w:numPr>
          <w:ilvl w:val="3"/>
          <w:numId w:val="1"/>
        </w:numPr>
        <w:ind w:left="360" w:right="360"/>
      </w:pPr>
      <w:r w:rsidRPr="00D17C6F">
        <w:rPr>
          <w:b/>
        </w:rPr>
        <w:t>SAFE Kit – Sexual Assault Forensic E</w:t>
      </w:r>
      <w:r w:rsidR="002A5DDE" w:rsidRPr="00D17C6F">
        <w:rPr>
          <w:b/>
        </w:rPr>
        <w:t>vidence</w:t>
      </w:r>
      <w:r w:rsidRPr="00D17C6F">
        <w:rPr>
          <w:b/>
        </w:rPr>
        <w:t xml:space="preserve"> Kit</w:t>
      </w:r>
      <w:r w:rsidRPr="00D17C6F">
        <w:t xml:space="preserve">: </w:t>
      </w:r>
      <w:r w:rsidR="004A1F7D" w:rsidRPr="00D17C6F">
        <w:t>A forensic evidence collection kit consisting of instructions and labeled packages for properly collecting and storing potential DNA evidence.</w:t>
      </w:r>
      <w:r w:rsidR="00D17C6F" w:rsidRPr="00D17C6F">
        <w:t xml:space="preserve"> </w:t>
      </w:r>
      <w:r w:rsidR="004A1F7D" w:rsidRPr="00D17C6F">
        <w:t xml:space="preserve">A victim’s kit includes the </w:t>
      </w:r>
      <w:r w:rsidR="0094773A" w:rsidRPr="00D17C6F">
        <w:t>v</w:t>
      </w:r>
      <w:r w:rsidR="004A1F7D" w:rsidRPr="00D17C6F">
        <w:t>ictim’s medical history and assault information form.</w:t>
      </w:r>
      <w:r w:rsidR="00D17C6F" w:rsidRPr="00D17C6F">
        <w:t xml:space="preserve"> </w:t>
      </w:r>
      <w:r w:rsidR="004A1F7D" w:rsidRPr="00D17C6F">
        <w:t>A suspect’s kit includes the request for examination form. SAFE kits are usually collected by trained medical personnel.</w:t>
      </w:r>
      <w:r w:rsidR="00120418">
        <w:br/>
      </w:r>
    </w:p>
    <w:p w14:paraId="661F7244" w14:textId="2CE268D6" w:rsidR="003177FB" w:rsidRPr="00D17C6F" w:rsidRDefault="003177FB" w:rsidP="003177FB">
      <w:pPr>
        <w:pStyle w:val="BodyText"/>
        <w:numPr>
          <w:ilvl w:val="3"/>
          <w:numId w:val="1"/>
        </w:numPr>
        <w:ind w:left="360" w:right="360"/>
      </w:pPr>
      <w:r w:rsidRPr="00D17C6F">
        <w:rPr>
          <w:b/>
        </w:rPr>
        <w:t>SANE</w:t>
      </w:r>
      <w:r w:rsidR="00D17C6F" w:rsidRPr="00D17C6F">
        <w:t xml:space="preserve"> </w:t>
      </w:r>
      <w:r w:rsidR="00D17C6F" w:rsidRPr="00D17C6F">
        <w:rPr>
          <w:b/>
        </w:rPr>
        <w:t xml:space="preserve">– </w:t>
      </w:r>
      <w:r w:rsidRPr="00D17C6F">
        <w:rPr>
          <w:b/>
        </w:rPr>
        <w:t>Sexual Assault Nurse Examiner</w:t>
      </w:r>
      <w:r w:rsidRPr="00D17C6F">
        <w:t xml:space="preserve">: </w:t>
      </w:r>
      <w:r w:rsidR="0094773A" w:rsidRPr="00D17C6F">
        <w:t>A</w:t>
      </w:r>
      <w:r w:rsidRPr="00D17C6F">
        <w:t xml:space="preserve"> regist</w:t>
      </w:r>
      <w:r w:rsidR="0094773A" w:rsidRPr="00D17C6F">
        <w:t>ered nurse who has completed</w:t>
      </w:r>
      <w:r w:rsidRPr="00D17C6F">
        <w:t xml:space="preserve"> required education and clinical experience and maintains a current credential from the Kentucky Board of Nursing to conduct forensic examinations of victims of sexual offenses</w:t>
      </w:r>
      <w:r w:rsidR="009F71C4" w:rsidRPr="00D17C6F">
        <w:t xml:space="preserve"> who are 14 years of age or older</w:t>
      </w:r>
      <w:r w:rsidRPr="00D17C6F">
        <w:t xml:space="preserve">. </w:t>
      </w:r>
      <w:r w:rsidR="00120418">
        <w:br/>
      </w:r>
    </w:p>
    <w:p w14:paraId="5F6F8E51" w14:textId="51B6C5A8" w:rsidR="003177FB" w:rsidRPr="00D17C6F" w:rsidRDefault="003177FB" w:rsidP="00E438F0">
      <w:pPr>
        <w:pStyle w:val="BodyText"/>
        <w:numPr>
          <w:ilvl w:val="3"/>
          <w:numId w:val="1"/>
        </w:numPr>
        <w:ind w:left="360" w:right="360"/>
      </w:pPr>
      <w:r w:rsidRPr="00D17C6F">
        <w:rPr>
          <w:b/>
        </w:rPr>
        <w:t>SANE-ready Hospital</w:t>
      </w:r>
      <w:r w:rsidRPr="00D17C6F">
        <w:t xml:space="preserve">: An acute care hospital certified by the Cabinet for Health and Family Services that a sexual assault nurse examiner is available on call twenty-four hours a day for the examination of persons seeking treatment as victims </w:t>
      </w:r>
      <w:r w:rsidRPr="00D17C6F">
        <w:lastRenderedPageBreak/>
        <w:t>of sexual offenses. A list of SANE</w:t>
      </w:r>
      <w:r w:rsidR="00AC71D4">
        <w:t xml:space="preserve"> </w:t>
      </w:r>
      <w:r w:rsidRPr="00D17C6F">
        <w:t xml:space="preserve">ready hospitals is available on the CHFS Inspector General’s webpage. </w:t>
      </w:r>
    </w:p>
    <w:p w14:paraId="55B39DAE" w14:textId="77777777" w:rsidR="00E438F0" w:rsidRPr="00D17C6F" w:rsidRDefault="00E438F0" w:rsidP="00E438F0">
      <w:pPr>
        <w:pStyle w:val="BodyText"/>
        <w:ind w:left="0" w:right="360" w:firstLine="360"/>
      </w:pPr>
    </w:p>
    <w:p w14:paraId="66B4F766" w14:textId="6B437389" w:rsidR="00702A8C" w:rsidRPr="00D17C6F" w:rsidRDefault="00702A8C" w:rsidP="00E438F0">
      <w:pPr>
        <w:pStyle w:val="BodyText"/>
        <w:numPr>
          <w:ilvl w:val="3"/>
          <w:numId w:val="1"/>
        </w:numPr>
        <w:ind w:left="360" w:right="360"/>
      </w:pPr>
      <w:r w:rsidRPr="00D17C6F">
        <w:rPr>
          <w:b/>
        </w:rPr>
        <w:t>Sexual assault examination facility</w:t>
      </w:r>
      <w:r w:rsidR="0094773A" w:rsidRPr="00D17C6F">
        <w:t>: A</w:t>
      </w:r>
      <w:r w:rsidRPr="00D17C6F">
        <w:t xml:space="preserve"> licensed health facility, emergency medical facility, primary care center, or a child</w:t>
      </w:r>
      <w:r w:rsidR="00E14CAD">
        <w:t>ren’s</w:t>
      </w:r>
      <w:r w:rsidRPr="00D17C6F">
        <w:t xml:space="preserve"> advocacy center or rape crisis center that is regulated by the Cabinet for Health and Family Services, and that provides sexual assault examinations.</w:t>
      </w:r>
      <w:r w:rsidR="00D17C6F" w:rsidRPr="00D17C6F">
        <w:t xml:space="preserve"> </w:t>
      </w:r>
      <w:r w:rsidR="005125D2" w:rsidRPr="00D17C6F" w:rsidDel="005125D2">
        <w:t xml:space="preserve"> </w:t>
      </w:r>
      <w:r w:rsidR="00120418">
        <w:br/>
      </w:r>
    </w:p>
    <w:p w14:paraId="4783E011" w14:textId="77777777" w:rsidR="00596B8A" w:rsidRPr="00D17C6F" w:rsidRDefault="00BE29FF" w:rsidP="00262562">
      <w:pPr>
        <w:pStyle w:val="BodyText"/>
        <w:numPr>
          <w:ilvl w:val="3"/>
          <w:numId w:val="1"/>
        </w:numPr>
        <w:ind w:left="360" w:right="360"/>
      </w:pPr>
      <w:r w:rsidRPr="00D17C6F">
        <w:rPr>
          <w:b/>
        </w:rPr>
        <w:t>Victim advocate</w:t>
      </w:r>
      <w:r w:rsidRPr="00D17C6F">
        <w:t>:</w:t>
      </w:r>
      <w:r w:rsidR="00E438F0" w:rsidRPr="00D17C6F">
        <w:t xml:space="preserve"> </w:t>
      </w:r>
      <w:r w:rsidR="002A5DDE" w:rsidRPr="00D17C6F">
        <w:t>A rape crisis center</w:t>
      </w:r>
      <w:r w:rsidR="00304042" w:rsidRPr="00D17C6F">
        <w:t xml:space="preserve"> advocate’s priority is addressing the victim’s full range of needs.</w:t>
      </w:r>
      <w:r w:rsidR="00D17C6F" w:rsidRPr="00D17C6F">
        <w:t xml:space="preserve"> </w:t>
      </w:r>
      <w:r w:rsidR="00304042" w:rsidRPr="00D17C6F">
        <w:t>Advocates assist with</w:t>
      </w:r>
      <w:r w:rsidR="0094773A" w:rsidRPr="00D17C6F">
        <w:t xml:space="preserve"> the</w:t>
      </w:r>
      <w:r w:rsidR="00304042" w:rsidRPr="00D17C6F">
        <w:t xml:space="preserve"> victim</w:t>
      </w:r>
      <w:r w:rsidR="0094773A" w:rsidRPr="00D17C6F">
        <w:t>’</w:t>
      </w:r>
      <w:r w:rsidR="00304042" w:rsidRPr="00D17C6F">
        <w:t>s emotional, physical, psychological, economic, and spiritual needs.</w:t>
      </w:r>
      <w:r w:rsidR="00D17C6F" w:rsidRPr="00D17C6F">
        <w:t xml:space="preserve"> </w:t>
      </w:r>
      <w:r w:rsidR="000F32F8" w:rsidRPr="00D17C6F">
        <w:t>The advocate can work collaboratively with the investigator on behalf of the victim and acts as a liaison among sexual assault response agencies to identify and facilitate access to services.</w:t>
      </w:r>
    </w:p>
    <w:p w14:paraId="2937C81D" w14:textId="77777777" w:rsidR="00BE29FF" w:rsidRPr="00D17C6F" w:rsidRDefault="00BE29FF" w:rsidP="0094773A">
      <w:pPr>
        <w:pStyle w:val="BodyText"/>
        <w:ind w:left="360" w:right="360" w:firstLine="0"/>
      </w:pPr>
    </w:p>
    <w:p w14:paraId="407F8EF4" w14:textId="38A28A5A" w:rsidR="00262562" w:rsidRPr="00D17C6F" w:rsidRDefault="005125D2" w:rsidP="002C5BA3">
      <w:pPr>
        <w:pStyle w:val="BodyText"/>
        <w:ind w:left="0" w:right="360" w:firstLine="20"/>
      </w:pPr>
      <w:r>
        <w:rPr>
          <w:b/>
          <w:u w:val="single"/>
        </w:rPr>
        <w:t>SUMMARY OF RELEVANT LAWS &amp; REGULATIONS</w:t>
      </w:r>
    </w:p>
    <w:p w14:paraId="1B791C30" w14:textId="77777777" w:rsidR="00161A00" w:rsidRDefault="00161A00" w:rsidP="004E67C8">
      <w:pPr>
        <w:pStyle w:val="BodyText"/>
        <w:ind w:left="0" w:right="360" w:firstLine="0"/>
        <w:rPr>
          <w:rFonts w:eastAsia="Times New Roman"/>
          <w:b/>
          <w:color w:val="000000"/>
        </w:rPr>
      </w:pPr>
    </w:p>
    <w:p w14:paraId="789BFF5A" w14:textId="4E869118" w:rsidR="00262562" w:rsidRPr="00D17C6F" w:rsidRDefault="00262562" w:rsidP="004E67C8">
      <w:pPr>
        <w:pStyle w:val="BodyText"/>
        <w:ind w:left="0" w:right="360" w:firstLine="0"/>
        <w:rPr>
          <w:rFonts w:eastAsia="Times New Roman"/>
          <w:color w:val="000000"/>
        </w:rPr>
      </w:pPr>
      <w:r w:rsidRPr="00D17C6F">
        <w:rPr>
          <w:rFonts w:eastAsia="Times New Roman"/>
          <w:b/>
          <w:color w:val="000000"/>
        </w:rPr>
        <w:t>KRS</w:t>
      </w:r>
      <w:r w:rsidR="00D17C6F" w:rsidRPr="00D17C6F">
        <w:rPr>
          <w:rFonts w:eastAsia="Times New Roman"/>
          <w:b/>
          <w:color w:val="000000"/>
        </w:rPr>
        <w:t xml:space="preserve"> </w:t>
      </w:r>
      <w:r w:rsidRPr="00D17C6F">
        <w:rPr>
          <w:rFonts w:eastAsia="Times New Roman"/>
          <w:b/>
          <w:color w:val="000000"/>
        </w:rPr>
        <w:t>15.440</w:t>
      </w:r>
      <w:r w:rsidR="00DC1EF2" w:rsidRPr="00D17C6F">
        <w:rPr>
          <w:rFonts w:eastAsia="Times New Roman"/>
          <w:color w:val="000000"/>
        </w:rPr>
        <w:t>, sexual assault investigation policy shall include the following requirements:</w:t>
      </w:r>
      <w:r w:rsidR="005125D2">
        <w:rPr>
          <w:rFonts w:eastAsia="Times New Roman"/>
          <w:color w:val="000000"/>
        </w:rPr>
        <w:br/>
      </w:r>
    </w:p>
    <w:p w14:paraId="13A0224C" w14:textId="78221CD7" w:rsidR="00DC1EF2" w:rsidRPr="00D17C6F" w:rsidRDefault="00DC1EF2" w:rsidP="004E67C8">
      <w:pPr>
        <w:pStyle w:val="BodyText"/>
        <w:numPr>
          <w:ilvl w:val="1"/>
          <w:numId w:val="7"/>
        </w:numPr>
        <w:ind w:right="360"/>
        <w:rPr>
          <w:rFonts w:eastAsia="Times New Roman"/>
          <w:color w:val="000000"/>
        </w:rPr>
      </w:pPr>
      <w:r w:rsidRPr="00D17C6F">
        <w:rPr>
          <w:rFonts w:eastAsia="Times New Roman"/>
          <w:color w:val="000000"/>
        </w:rPr>
        <w:t xml:space="preserve">Evidence collected </w:t>
      </w:r>
      <w:proofErr w:type="gramStart"/>
      <w:r w:rsidRPr="00D17C6F">
        <w:rPr>
          <w:rFonts w:eastAsia="Times New Roman"/>
          <w:color w:val="000000"/>
        </w:rPr>
        <w:t>as a result of</w:t>
      </w:r>
      <w:proofErr w:type="gramEnd"/>
      <w:r w:rsidRPr="00D17C6F">
        <w:rPr>
          <w:rFonts w:eastAsia="Times New Roman"/>
          <w:color w:val="000000"/>
        </w:rPr>
        <w:t xml:space="preserve"> an examination performed under KRS 216B.400 is required to be taken into custody within five (5) days of notice from the collecting facility</w:t>
      </w:r>
      <w:r w:rsidR="00E10934" w:rsidRPr="00D17C6F">
        <w:rPr>
          <w:rFonts w:eastAsia="Times New Roman"/>
          <w:color w:val="000000"/>
        </w:rPr>
        <w:t xml:space="preserve">, </w:t>
      </w:r>
      <w:r w:rsidR="00E10934" w:rsidRPr="00D17C6F">
        <w:rPr>
          <w:rFonts w:eastAsia="Times New Roman"/>
          <w:color w:val="000000"/>
          <w:u w:val="single"/>
        </w:rPr>
        <w:t>with the consent of the victim</w:t>
      </w:r>
      <w:r w:rsidR="00E10934" w:rsidRPr="00D17C6F">
        <w:rPr>
          <w:rFonts w:eastAsia="Times New Roman"/>
          <w:color w:val="000000"/>
        </w:rPr>
        <w:t xml:space="preserve">. A </w:t>
      </w:r>
      <w:r w:rsidR="00D17C6F" w:rsidRPr="00D17C6F">
        <w:rPr>
          <w:rFonts w:eastAsia="Times New Roman"/>
          <w:color w:val="000000"/>
        </w:rPr>
        <w:t>v</w:t>
      </w:r>
      <w:r w:rsidR="00E10934" w:rsidRPr="00D17C6F">
        <w:rPr>
          <w:rFonts w:eastAsia="Times New Roman"/>
          <w:color w:val="000000"/>
        </w:rPr>
        <w:t xml:space="preserve">ictim may consent to having a kit collected, but </w:t>
      </w:r>
      <w:r w:rsidR="00E10934" w:rsidRPr="00D17C6F">
        <w:rPr>
          <w:rFonts w:eastAsia="Times New Roman"/>
          <w:b/>
          <w:color w:val="000000"/>
        </w:rPr>
        <w:t xml:space="preserve">not </w:t>
      </w:r>
      <w:r w:rsidR="00E10934" w:rsidRPr="00D17C6F">
        <w:rPr>
          <w:rFonts w:eastAsia="Times New Roman"/>
          <w:color w:val="000000"/>
        </w:rPr>
        <w:t xml:space="preserve">consent to report the assault to law enforcement. These are called non-reporting kits and are not required to be collected by law enforcement and sent to the lab. </w:t>
      </w:r>
      <w:r w:rsidR="005125D2">
        <w:rPr>
          <w:rFonts w:eastAsia="Times New Roman"/>
          <w:color w:val="000000"/>
        </w:rPr>
        <w:br/>
      </w:r>
    </w:p>
    <w:p w14:paraId="0150882B" w14:textId="4FB96EB9" w:rsidR="00DC1EF2" w:rsidRPr="00D17C6F" w:rsidRDefault="00DC1EF2" w:rsidP="004E67C8">
      <w:pPr>
        <w:pStyle w:val="BodyText"/>
        <w:numPr>
          <w:ilvl w:val="1"/>
          <w:numId w:val="7"/>
        </w:numPr>
        <w:ind w:right="360"/>
        <w:rPr>
          <w:rFonts w:eastAsia="Times New Roman"/>
          <w:color w:val="000000"/>
        </w:rPr>
      </w:pPr>
      <w:r w:rsidRPr="00D17C6F">
        <w:rPr>
          <w:rFonts w:eastAsia="Times New Roman"/>
          <w:color w:val="000000"/>
        </w:rPr>
        <w:t>Evidence received from a collecting facility relating to an incident which occurred outside the jurisdiction of the department shall be transmitted to a department with jurisdiction within ten (10) days of receipt by the department.</w:t>
      </w:r>
      <w:r w:rsidR="005125D2">
        <w:rPr>
          <w:rFonts w:eastAsia="Times New Roman"/>
          <w:color w:val="000000"/>
        </w:rPr>
        <w:br/>
      </w:r>
    </w:p>
    <w:p w14:paraId="098482D6" w14:textId="17D98A8C" w:rsidR="00DC1EF2" w:rsidRPr="00D17C6F" w:rsidRDefault="00DC1EF2" w:rsidP="004E67C8">
      <w:pPr>
        <w:pStyle w:val="BodyText"/>
        <w:numPr>
          <w:ilvl w:val="1"/>
          <w:numId w:val="7"/>
        </w:numPr>
        <w:ind w:right="360"/>
        <w:rPr>
          <w:rFonts w:eastAsia="Times New Roman"/>
          <w:color w:val="000000"/>
        </w:rPr>
      </w:pPr>
      <w:r w:rsidRPr="00D17C6F">
        <w:rPr>
          <w:rFonts w:eastAsia="Times New Roman"/>
          <w:color w:val="000000"/>
        </w:rPr>
        <w:t>Evidence retrieved from a collecting facility shall be transmitted to the Kentucky State Police Forensic Laboratory within thirty (30) days of its receipt by the department.</w:t>
      </w:r>
      <w:r w:rsidR="005125D2">
        <w:rPr>
          <w:rFonts w:eastAsia="Times New Roman"/>
          <w:color w:val="000000"/>
        </w:rPr>
        <w:br/>
      </w:r>
    </w:p>
    <w:p w14:paraId="3B9BFB79" w14:textId="0FA4E073" w:rsidR="00DC1EF2" w:rsidRPr="00D17C6F" w:rsidRDefault="00DC1EF2" w:rsidP="004E67C8">
      <w:pPr>
        <w:pStyle w:val="BodyText"/>
        <w:numPr>
          <w:ilvl w:val="1"/>
          <w:numId w:val="7"/>
        </w:numPr>
        <w:ind w:right="360"/>
        <w:rPr>
          <w:rFonts w:eastAsia="Times New Roman"/>
          <w:color w:val="000000"/>
        </w:rPr>
      </w:pPr>
      <w:r w:rsidRPr="00D17C6F">
        <w:rPr>
          <w:rFonts w:eastAsia="Times New Roman"/>
          <w:color w:val="000000"/>
        </w:rPr>
        <w:t>A suspect standard, if available, shall be transmitted to the Kentucky State Police Forensic Laboratory with the evidence received from the collecting facility.</w:t>
      </w:r>
      <w:r w:rsidR="005125D2">
        <w:rPr>
          <w:rFonts w:eastAsia="Times New Roman"/>
          <w:color w:val="000000"/>
        </w:rPr>
        <w:br/>
      </w:r>
    </w:p>
    <w:p w14:paraId="6A0B2AFB" w14:textId="4A0DF068" w:rsidR="00DC1EF2" w:rsidRDefault="00DC1EF2" w:rsidP="004E67C8">
      <w:pPr>
        <w:pStyle w:val="BodyText"/>
        <w:numPr>
          <w:ilvl w:val="1"/>
          <w:numId w:val="7"/>
        </w:numPr>
        <w:ind w:right="360"/>
        <w:rPr>
          <w:rFonts w:eastAsia="Times New Roman"/>
          <w:color w:val="000000"/>
        </w:rPr>
      </w:pPr>
      <w:r w:rsidRPr="00D17C6F">
        <w:rPr>
          <w:rFonts w:eastAsia="Times New Roman"/>
          <w:color w:val="000000"/>
        </w:rPr>
        <w:t xml:space="preserve">A process for notifying victims from whom evidence was collected of the progress of testing, whether testing resulted in a match to other DNA samples, and if </w:t>
      </w:r>
      <w:r w:rsidR="00D17C6F" w:rsidRPr="00D17C6F">
        <w:rPr>
          <w:rFonts w:eastAsia="Times New Roman"/>
          <w:color w:val="000000"/>
        </w:rPr>
        <w:t xml:space="preserve">the evidence is to be destroyed. </w:t>
      </w:r>
      <w:r w:rsidR="00303CE3">
        <w:rPr>
          <w:rFonts w:eastAsia="Times New Roman"/>
          <w:color w:val="000000"/>
        </w:rPr>
        <w:t xml:space="preserve">Disclosure of the suspect’s identify is not required in the notice to the victims. </w:t>
      </w:r>
      <w:r w:rsidRPr="00D17C6F">
        <w:rPr>
          <w:rFonts w:eastAsia="Times New Roman"/>
          <w:color w:val="000000"/>
        </w:rPr>
        <w:t>The notice may be delayed until a suspect is apprehended or the office of the Commonwealth’s attorney consents to the notification.</w:t>
      </w:r>
      <w:r w:rsidR="00D17C6F" w:rsidRPr="00D17C6F">
        <w:rPr>
          <w:rFonts w:eastAsia="Times New Roman"/>
          <w:color w:val="000000"/>
        </w:rPr>
        <w:t xml:space="preserve"> </w:t>
      </w:r>
      <w:r w:rsidR="005125D2">
        <w:rPr>
          <w:rFonts w:eastAsia="Times New Roman"/>
          <w:color w:val="000000"/>
        </w:rPr>
        <w:br/>
      </w:r>
    </w:p>
    <w:p w14:paraId="693DDB54" w14:textId="5AACB380" w:rsidR="00543823" w:rsidRPr="00D17C6F" w:rsidRDefault="004D7491" w:rsidP="004E67C8">
      <w:pPr>
        <w:pStyle w:val="BodyText"/>
        <w:numPr>
          <w:ilvl w:val="1"/>
          <w:numId w:val="7"/>
        </w:numPr>
        <w:ind w:right="360"/>
        <w:rPr>
          <w:rFonts w:eastAsia="Times New Roman"/>
          <w:color w:val="000000"/>
        </w:rPr>
      </w:pPr>
      <w:r>
        <w:rPr>
          <w:rFonts w:eastAsia="Times New Roman"/>
          <w:color w:val="000000"/>
        </w:rPr>
        <w:t xml:space="preserve">Victim’s </w:t>
      </w:r>
      <w:r w:rsidR="00543823" w:rsidRPr="00543823">
        <w:rPr>
          <w:rFonts w:eastAsia="Times New Roman"/>
          <w:color w:val="000000"/>
        </w:rPr>
        <w:t xml:space="preserve">DNA samples collected </w:t>
      </w:r>
      <w:proofErr w:type="gramStart"/>
      <w:r w:rsidR="00543823" w:rsidRPr="00543823">
        <w:rPr>
          <w:rFonts w:eastAsia="Times New Roman"/>
          <w:color w:val="000000"/>
        </w:rPr>
        <w:t>as a result of</w:t>
      </w:r>
      <w:proofErr w:type="gramEnd"/>
      <w:r w:rsidR="00543823" w:rsidRPr="00543823">
        <w:rPr>
          <w:rFonts w:eastAsia="Times New Roman"/>
          <w:color w:val="000000"/>
        </w:rPr>
        <w:t xml:space="preserve"> an examination performed under KRS 216B.400 that are voluntarily submitted solely for elimination purposes </w:t>
      </w:r>
      <w:r w:rsidR="00543823" w:rsidRPr="00543823">
        <w:rPr>
          <w:rFonts w:eastAsia="Times New Roman"/>
          <w:color w:val="000000"/>
        </w:rPr>
        <w:lastRenderedPageBreak/>
        <w:t>shall not be checked against any DNA index, retained, or included in any DNA index</w:t>
      </w:r>
      <w:r w:rsidR="00543823">
        <w:rPr>
          <w:rFonts w:eastAsia="Times New Roman"/>
          <w:color w:val="000000"/>
        </w:rPr>
        <w:t>.</w:t>
      </w:r>
    </w:p>
    <w:p w14:paraId="497CD56C" w14:textId="77777777" w:rsidR="004E67C8" w:rsidRPr="00D17C6F" w:rsidRDefault="004E67C8" w:rsidP="004E67C8">
      <w:pPr>
        <w:pStyle w:val="BodyText"/>
        <w:ind w:left="720" w:right="360" w:firstLine="0"/>
        <w:rPr>
          <w:rFonts w:eastAsia="Times New Roman"/>
          <w:color w:val="000000"/>
        </w:rPr>
      </w:pPr>
    </w:p>
    <w:p w14:paraId="55145BD6" w14:textId="595F6D5A" w:rsidR="004E67C8" w:rsidRPr="00D17C6F" w:rsidRDefault="00D816D1" w:rsidP="004E67C8">
      <w:pPr>
        <w:pStyle w:val="BodyText"/>
        <w:ind w:left="0" w:right="360" w:firstLine="0"/>
        <w:rPr>
          <w:rFonts w:eastAsia="Times New Roman"/>
          <w:color w:val="000000"/>
        </w:rPr>
      </w:pPr>
      <w:r w:rsidRPr="00D17C6F">
        <w:rPr>
          <w:rFonts w:eastAsia="Times New Roman"/>
          <w:b/>
          <w:color w:val="000000"/>
        </w:rPr>
        <w:t>KRS 17.175</w:t>
      </w:r>
      <w:r w:rsidR="00EE5B23" w:rsidRPr="00D17C6F">
        <w:rPr>
          <w:rFonts w:eastAsia="Times New Roman"/>
          <w:b/>
          <w:color w:val="000000"/>
        </w:rPr>
        <w:t xml:space="preserve"> (3)(a)</w:t>
      </w:r>
      <w:r w:rsidR="00E14CAD">
        <w:rPr>
          <w:rFonts w:eastAsia="Times New Roman"/>
          <w:b/>
          <w:color w:val="000000"/>
        </w:rPr>
        <w:br/>
      </w:r>
    </w:p>
    <w:p w14:paraId="09140526" w14:textId="187E6746" w:rsidR="00D816D1" w:rsidRDefault="00EE5B23" w:rsidP="004E67C8">
      <w:pPr>
        <w:pStyle w:val="BodyText"/>
        <w:ind w:left="720" w:right="360" w:firstLine="0"/>
        <w:rPr>
          <w:rFonts w:eastAsia="Times New Roman"/>
          <w:color w:val="000000"/>
        </w:rPr>
      </w:pPr>
      <w:r w:rsidRPr="00D17C6F">
        <w:rPr>
          <w:rFonts w:eastAsia="Times New Roman"/>
          <w:color w:val="000000"/>
        </w:rPr>
        <w:t>The department shall analyze and classify all sexual assault evidence collection kits it receives.</w:t>
      </w:r>
    </w:p>
    <w:p w14:paraId="444CB9F4" w14:textId="77777777" w:rsidR="00161A00" w:rsidRDefault="00161A00" w:rsidP="004E67C8">
      <w:pPr>
        <w:pStyle w:val="BodyText"/>
        <w:ind w:left="720" w:right="360" w:firstLine="0"/>
        <w:rPr>
          <w:rFonts w:eastAsia="Times New Roman"/>
          <w:color w:val="000000"/>
        </w:rPr>
      </w:pPr>
    </w:p>
    <w:p w14:paraId="51779F72" w14:textId="344238D9" w:rsidR="00EE5B23" w:rsidRPr="00D17C6F" w:rsidRDefault="00262562" w:rsidP="004E67C8">
      <w:pPr>
        <w:pStyle w:val="BodyText"/>
        <w:ind w:left="0" w:right="360" w:firstLine="0"/>
        <w:rPr>
          <w:rFonts w:eastAsia="Times New Roman"/>
          <w:b/>
          <w:color w:val="000000"/>
        </w:rPr>
      </w:pPr>
      <w:r w:rsidRPr="00D17C6F">
        <w:rPr>
          <w:rFonts w:eastAsia="Times New Roman"/>
          <w:b/>
          <w:color w:val="000000"/>
        </w:rPr>
        <w:t>KRS 216B.400</w:t>
      </w:r>
      <w:r w:rsidR="005125D2">
        <w:rPr>
          <w:rFonts w:eastAsia="Times New Roman"/>
          <w:b/>
          <w:color w:val="000000"/>
        </w:rPr>
        <w:br/>
      </w:r>
      <w:r w:rsidR="005125D2">
        <w:rPr>
          <w:rFonts w:eastAsia="Times New Roman"/>
          <w:b/>
          <w:color w:val="000000"/>
        </w:rPr>
        <w:br/>
      </w:r>
      <w:r w:rsidR="005125D2" w:rsidRPr="00161A00">
        <w:rPr>
          <w:rFonts w:eastAsia="Times New Roman"/>
          <w:bCs/>
          <w:color w:val="000000"/>
        </w:rPr>
        <w:tab/>
      </w:r>
      <w:r w:rsidR="005125D2" w:rsidRPr="00161A00">
        <w:rPr>
          <w:rFonts w:eastAsia="Times New Roman"/>
          <w:b/>
          <w:color w:val="000000"/>
        </w:rPr>
        <w:t>(2)</w:t>
      </w:r>
      <w:r w:rsidR="002F6783" w:rsidRPr="00161A00">
        <w:rPr>
          <w:rFonts w:eastAsia="Times New Roman"/>
          <w:bCs/>
          <w:color w:val="000000"/>
        </w:rPr>
        <w:t xml:space="preserve"> </w:t>
      </w:r>
      <w:r w:rsidR="005125D2" w:rsidRPr="00161A00">
        <w:rPr>
          <w:rFonts w:eastAsia="Times New Roman"/>
          <w:bCs/>
          <w:color w:val="000000"/>
        </w:rPr>
        <w:t xml:space="preserve">Every hospital of this state which </w:t>
      </w:r>
      <w:r w:rsidR="00303CE3" w:rsidRPr="00161A00">
        <w:rPr>
          <w:rFonts w:eastAsia="Times New Roman"/>
          <w:bCs/>
          <w:color w:val="000000"/>
        </w:rPr>
        <w:t>offers emergency services shall</w:t>
      </w:r>
      <w:r w:rsidR="00303CE3" w:rsidRPr="00161A00">
        <w:rPr>
          <w:rFonts w:eastAsia="Times New Roman"/>
          <w:bCs/>
          <w:color w:val="000000"/>
        </w:rPr>
        <w:br/>
        <w:t xml:space="preserve">           provide SAFE exams.</w:t>
      </w:r>
      <w:r w:rsidR="00303CE3">
        <w:rPr>
          <w:rFonts w:eastAsia="Times New Roman"/>
          <w:b/>
          <w:color w:val="000000"/>
        </w:rPr>
        <w:br/>
      </w:r>
    </w:p>
    <w:p w14:paraId="752CB519" w14:textId="3202483F" w:rsidR="006F1A36" w:rsidRPr="00D17C6F" w:rsidRDefault="00E355C2" w:rsidP="00D17C6F">
      <w:pPr>
        <w:pStyle w:val="BodyText"/>
        <w:ind w:left="720" w:right="360" w:firstLine="0"/>
        <w:rPr>
          <w:rFonts w:eastAsia="Times New Roman"/>
          <w:color w:val="000000"/>
        </w:rPr>
      </w:pPr>
      <w:r w:rsidRPr="00D17C6F">
        <w:rPr>
          <w:rFonts w:eastAsia="Times New Roman"/>
          <w:b/>
          <w:color w:val="000000"/>
        </w:rPr>
        <w:t xml:space="preserve">(7) </w:t>
      </w:r>
      <w:r w:rsidRPr="00D17C6F">
        <w:rPr>
          <w:rFonts w:eastAsia="Times New Roman"/>
          <w:color w:val="000000"/>
        </w:rPr>
        <w:t>A minor may consent to an examination</w:t>
      </w:r>
      <w:r w:rsidR="00D67D29" w:rsidRPr="00D17C6F">
        <w:rPr>
          <w:rFonts w:eastAsia="Times New Roman"/>
          <w:color w:val="000000"/>
        </w:rPr>
        <w:t>.</w:t>
      </w:r>
      <w:r w:rsidR="00B51E45" w:rsidRPr="00D17C6F">
        <w:rPr>
          <w:rFonts w:eastAsia="Times New Roman"/>
          <w:color w:val="000000"/>
        </w:rPr>
        <w:t xml:space="preserve"> </w:t>
      </w:r>
      <w:r w:rsidR="00D67D29" w:rsidRPr="00D17C6F">
        <w:rPr>
          <w:rFonts w:eastAsia="Times New Roman"/>
          <w:color w:val="000000"/>
        </w:rPr>
        <w:t>C</w:t>
      </w:r>
      <w:r w:rsidRPr="00D17C6F">
        <w:rPr>
          <w:rFonts w:eastAsia="Times New Roman"/>
          <w:color w:val="000000"/>
        </w:rPr>
        <w:t>onsent of the parents or guardians of the minor is not required for an examination. Hospital personnel will not perform a SAFE Exam on a minor without the consent of the minor.</w:t>
      </w:r>
      <w:r w:rsidR="00D17C6F" w:rsidRPr="00D17C6F">
        <w:rPr>
          <w:rFonts w:eastAsia="Times New Roman"/>
          <w:color w:val="000000"/>
        </w:rPr>
        <w:t xml:space="preserve"> </w:t>
      </w:r>
      <w:r w:rsidRPr="00D17C6F">
        <w:rPr>
          <w:rFonts w:eastAsia="Times New Roman"/>
          <w:color w:val="000000"/>
        </w:rPr>
        <w:t xml:space="preserve"> </w:t>
      </w:r>
      <w:r w:rsidR="00303CE3">
        <w:rPr>
          <w:rFonts w:eastAsia="Times New Roman"/>
          <w:color w:val="000000"/>
        </w:rPr>
        <w:br/>
      </w:r>
    </w:p>
    <w:p w14:paraId="4F2C745F" w14:textId="1C9A7859" w:rsidR="00262562" w:rsidRPr="00D17C6F" w:rsidRDefault="00EE5B23" w:rsidP="004E67C8">
      <w:pPr>
        <w:pStyle w:val="BodyText"/>
        <w:ind w:left="720" w:right="360" w:firstLine="0"/>
        <w:rPr>
          <w:rFonts w:eastAsia="Times New Roman"/>
          <w:color w:val="000000"/>
        </w:rPr>
      </w:pPr>
      <w:r w:rsidRPr="00D17C6F">
        <w:rPr>
          <w:rFonts w:eastAsia="Times New Roman"/>
          <w:b/>
          <w:color w:val="000000"/>
        </w:rPr>
        <w:t>(9)</w:t>
      </w:r>
      <w:r w:rsidRPr="00D17C6F">
        <w:rPr>
          <w:rFonts w:eastAsia="Times New Roman"/>
          <w:color w:val="000000"/>
        </w:rPr>
        <w:t xml:space="preserve"> No charge shall be made to the victim for sexual assault examinations by the hospital, the sexual assault examination facility, the physician, the pharmacist, the health department, the sexual assault nurse examiner, other qualified medical professional, the victim’s insurance carrier, or the Commonwealth.</w:t>
      </w:r>
      <w:r w:rsidR="00303CE3">
        <w:rPr>
          <w:rFonts w:eastAsia="Times New Roman"/>
          <w:color w:val="000000"/>
        </w:rPr>
        <w:br/>
      </w:r>
    </w:p>
    <w:p w14:paraId="777936C0" w14:textId="77777777" w:rsidR="00EE5B23" w:rsidRPr="00D17C6F" w:rsidRDefault="00EE5B23" w:rsidP="004E67C8">
      <w:pPr>
        <w:pStyle w:val="BodyText"/>
        <w:ind w:left="720" w:right="360" w:firstLine="0"/>
        <w:rPr>
          <w:rFonts w:eastAsia="Times New Roman"/>
          <w:color w:val="000000"/>
        </w:rPr>
      </w:pPr>
      <w:r w:rsidRPr="00D17C6F">
        <w:rPr>
          <w:rFonts w:eastAsia="Times New Roman"/>
          <w:b/>
          <w:color w:val="000000"/>
        </w:rPr>
        <w:t>(10)(a)</w:t>
      </w:r>
      <w:r w:rsidRPr="00D17C6F">
        <w:rPr>
          <w:rFonts w:eastAsia="Times New Roman"/>
          <w:color w:val="000000"/>
        </w:rPr>
        <w:t xml:space="preserve"> Each victim shall have the right to determine whether a report or other notification shall be made to law enforcement. No victim shall be denied an examination because the victim chooses not to file a police report, cooperate with law enforcement, or otherwise participate in the criminal justice system.</w:t>
      </w:r>
    </w:p>
    <w:p w14:paraId="00366694" w14:textId="77777777" w:rsidR="00E355C2" w:rsidRPr="00D17C6F" w:rsidRDefault="00E355C2" w:rsidP="004E67C8">
      <w:pPr>
        <w:pStyle w:val="BodyText"/>
        <w:ind w:left="720" w:right="360" w:firstLine="0"/>
        <w:rPr>
          <w:rFonts w:eastAsia="Times New Roman"/>
          <w:color w:val="000000"/>
        </w:rPr>
      </w:pPr>
    </w:p>
    <w:p w14:paraId="4209F4F0" w14:textId="3CF30903" w:rsidR="00773239" w:rsidRPr="00D17C6F" w:rsidRDefault="00773239" w:rsidP="004E67C8">
      <w:pPr>
        <w:pStyle w:val="BodyText"/>
        <w:ind w:left="0" w:right="360" w:firstLine="0"/>
        <w:rPr>
          <w:rFonts w:eastAsia="Times New Roman"/>
          <w:color w:val="000000"/>
        </w:rPr>
      </w:pPr>
      <w:r w:rsidRPr="00D17C6F">
        <w:rPr>
          <w:rFonts w:eastAsia="Times New Roman"/>
          <w:b/>
          <w:color w:val="000000"/>
        </w:rPr>
        <w:t>502 KAR 12:010</w:t>
      </w:r>
      <w:r w:rsidR="00E14CAD">
        <w:rPr>
          <w:rFonts w:eastAsia="Times New Roman"/>
          <w:b/>
          <w:color w:val="000000"/>
        </w:rPr>
        <w:br/>
      </w:r>
    </w:p>
    <w:p w14:paraId="1306655F" w14:textId="77777777" w:rsidR="008C25AA" w:rsidRPr="00D17C6F" w:rsidRDefault="008C25AA" w:rsidP="004E67C8">
      <w:pPr>
        <w:pStyle w:val="BodyText"/>
        <w:ind w:left="720" w:right="360" w:firstLine="0"/>
        <w:rPr>
          <w:rFonts w:eastAsia="Times New Roman"/>
          <w:color w:val="000000"/>
        </w:rPr>
      </w:pPr>
      <w:r w:rsidRPr="00D17C6F">
        <w:rPr>
          <w:rFonts w:eastAsia="Times New Roman"/>
          <w:b/>
          <w:color w:val="000000"/>
        </w:rPr>
        <w:t>Section 2(2)(b)(1)</w:t>
      </w:r>
      <w:r w:rsidRPr="00D17C6F">
        <w:rPr>
          <w:rFonts w:eastAsia="Times New Roman"/>
          <w:color w:val="000000"/>
        </w:rPr>
        <w:t xml:space="preserve"> The examination facility shall not contact law enforcement or release any information to law enforcement without the victim’s authorization.</w:t>
      </w:r>
    </w:p>
    <w:p w14:paraId="776BA8A1" w14:textId="77777777" w:rsidR="004E67C8" w:rsidRPr="00D17C6F" w:rsidRDefault="004E67C8" w:rsidP="004E67C8">
      <w:pPr>
        <w:pStyle w:val="BodyText"/>
        <w:ind w:left="360" w:right="360" w:firstLine="0"/>
        <w:rPr>
          <w:rFonts w:eastAsia="Times New Roman"/>
          <w:color w:val="000000"/>
        </w:rPr>
      </w:pPr>
    </w:p>
    <w:p w14:paraId="78310E63" w14:textId="52AD8078" w:rsidR="00685984" w:rsidRPr="00D17C6F" w:rsidRDefault="00685984" w:rsidP="004E67C8">
      <w:pPr>
        <w:pStyle w:val="BodyText"/>
        <w:ind w:left="0" w:right="360" w:firstLine="0"/>
      </w:pPr>
      <w:r w:rsidRPr="00D17C6F">
        <w:rPr>
          <w:rFonts w:eastAsia="Times New Roman"/>
          <w:b/>
          <w:color w:val="000000"/>
        </w:rPr>
        <w:t>502 KAR 20:020</w:t>
      </w:r>
      <w:r w:rsidR="00EE5B23" w:rsidRPr="00D17C6F">
        <w:rPr>
          <w:rFonts w:eastAsia="Times New Roman"/>
          <w:b/>
          <w:color w:val="000000"/>
        </w:rPr>
        <w:t xml:space="preserve"> Detection of Deception Examiners</w:t>
      </w:r>
      <w:r w:rsidR="00E14CAD">
        <w:rPr>
          <w:rFonts w:eastAsia="Times New Roman"/>
          <w:b/>
          <w:color w:val="000000"/>
        </w:rPr>
        <w:br/>
      </w:r>
    </w:p>
    <w:p w14:paraId="0D01ED5F" w14:textId="77777777" w:rsidR="005B4313" w:rsidRPr="00D17C6F" w:rsidRDefault="00EE5B23" w:rsidP="004E67C8">
      <w:pPr>
        <w:pStyle w:val="BodyText"/>
        <w:ind w:left="720" w:right="360" w:firstLine="0"/>
        <w:rPr>
          <w:rFonts w:eastAsia="Times New Roman"/>
          <w:color w:val="000000"/>
        </w:rPr>
      </w:pPr>
      <w:r w:rsidRPr="00D17C6F">
        <w:rPr>
          <w:rFonts w:eastAsia="Times New Roman"/>
          <w:b/>
          <w:color w:val="000000"/>
        </w:rPr>
        <w:t>Section 4 (2)</w:t>
      </w:r>
      <w:r w:rsidRPr="00D17C6F">
        <w:rPr>
          <w:rFonts w:eastAsia="Times New Roman"/>
          <w:color w:val="000000"/>
        </w:rPr>
        <w:t xml:space="preserve"> An examination shall not be requested, required, or conducted of a sex crime victim as a condition for proceeding with the investigation of the </w:t>
      </w:r>
    </w:p>
    <w:p w14:paraId="1DFBFD4D" w14:textId="77777777" w:rsidR="00EE5B23" w:rsidRPr="00D17C6F" w:rsidRDefault="00EE5B23" w:rsidP="004E67C8">
      <w:pPr>
        <w:pStyle w:val="BodyText"/>
        <w:ind w:left="720" w:right="360" w:firstLine="0"/>
        <w:rPr>
          <w:rFonts w:eastAsia="Times New Roman"/>
          <w:color w:val="000000"/>
        </w:rPr>
      </w:pPr>
      <w:r w:rsidRPr="00D17C6F">
        <w:rPr>
          <w:rFonts w:eastAsia="Times New Roman"/>
          <w:color w:val="000000"/>
        </w:rPr>
        <w:t>crime.</w:t>
      </w:r>
    </w:p>
    <w:p w14:paraId="673137C1" w14:textId="77777777" w:rsidR="00D17C6F" w:rsidRPr="00D17C6F" w:rsidRDefault="00D17C6F" w:rsidP="004E67C8">
      <w:pPr>
        <w:pStyle w:val="BodyText"/>
        <w:ind w:left="720" w:right="360" w:firstLine="0"/>
        <w:rPr>
          <w:rFonts w:eastAsia="Times New Roman"/>
          <w:color w:val="000000"/>
        </w:rPr>
      </w:pPr>
    </w:p>
    <w:p w14:paraId="6634DD93" w14:textId="65266744" w:rsidR="005B4313" w:rsidRPr="00D17C6F" w:rsidRDefault="005B4313" w:rsidP="009F71C4">
      <w:pPr>
        <w:pStyle w:val="Heading1"/>
        <w:tabs>
          <w:tab w:val="left" w:pos="2176"/>
        </w:tabs>
        <w:ind w:left="0" w:right="360" w:firstLine="0"/>
      </w:pPr>
      <w:r w:rsidRPr="00D17C6F">
        <w:rPr>
          <w:rFonts w:eastAsia="Times New Roman"/>
          <w:color w:val="000000"/>
        </w:rPr>
        <w:t xml:space="preserve">920 KAR 2:010 </w:t>
      </w:r>
      <w:r w:rsidR="009F71C4" w:rsidRPr="00D17C6F">
        <w:rPr>
          <w:rFonts w:eastAsia="Times New Roman"/>
          <w:color w:val="000000"/>
        </w:rPr>
        <w:t>&amp;</w:t>
      </w:r>
      <w:r w:rsidR="009F71C4" w:rsidRPr="00D17C6F">
        <w:t>502 KAR 12:010</w:t>
      </w:r>
      <w:r w:rsidR="00D17C6F" w:rsidRPr="00D17C6F">
        <w:t xml:space="preserve"> </w:t>
      </w:r>
      <w:r w:rsidRPr="00D17C6F">
        <w:rPr>
          <w:rFonts w:eastAsia="Times New Roman"/>
          <w:color w:val="000000"/>
        </w:rPr>
        <w:t>Mandatory Notification to Regional Rape Crisis Center</w:t>
      </w:r>
      <w:r w:rsidR="00E14CAD">
        <w:rPr>
          <w:rFonts w:eastAsia="Times New Roman"/>
          <w:color w:val="000000"/>
        </w:rPr>
        <w:br/>
      </w:r>
    </w:p>
    <w:p w14:paraId="152530EA" w14:textId="77777777" w:rsidR="00262562" w:rsidRPr="00D17C6F" w:rsidRDefault="005B4313" w:rsidP="005B4313">
      <w:pPr>
        <w:pStyle w:val="Heading1"/>
        <w:tabs>
          <w:tab w:val="left" w:pos="2176"/>
        </w:tabs>
        <w:ind w:left="720" w:right="360" w:firstLine="0"/>
        <w:rPr>
          <w:b w:val="0"/>
        </w:rPr>
      </w:pPr>
      <w:bookmarkStart w:id="2" w:name="_bookmark1"/>
      <w:bookmarkEnd w:id="2"/>
      <w:r w:rsidRPr="00D17C6F">
        <w:rPr>
          <w:b w:val="0"/>
        </w:rPr>
        <w:t>Hospital personnel will notify the Regional Rape Crisis Center that a victim has</w:t>
      </w:r>
      <w:r w:rsidR="00D17C6F" w:rsidRPr="00D17C6F">
        <w:rPr>
          <w:b w:val="0"/>
        </w:rPr>
        <w:t xml:space="preserve">  </w:t>
      </w:r>
      <w:r w:rsidRPr="00D17C6F">
        <w:rPr>
          <w:b w:val="0"/>
        </w:rPr>
        <w:t xml:space="preserve"> requested a SAFE exam and request that an advocate be dispatched. </w:t>
      </w:r>
    </w:p>
    <w:p w14:paraId="4ED232AF" w14:textId="77777777" w:rsidR="00DD46C3" w:rsidRPr="00D17C6F" w:rsidRDefault="00DD46C3" w:rsidP="00262562">
      <w:pPr>
        <w:pStyle w:val="Heading1"/>
        <w:tabs>
          <w:tab w:val="left" w:pos="2176"/>
        </w:tabs>
        <w:ind w:left="0" w:right="360" w:firstLine="0"/>
      </w:pPr>
    </w:p>
    <w:p w14:paraId="70EF4DD2" w14:textId="0D547638" w:rsidR="006D57F2" w:rsidRPr="00D17C6F" w:rsidRDefault="006D57F2" w:rsidP="00262562">
      <w:pPr>
        <w:pStyle w:val="Heading1"/>
        <w:tabs>
          <w:tab w:val="left" w:pos="2176"/>
        </w:tabs>
        <w:ind w:left="0" w:right="360" w:firstLine="0"/>
      </w:pPr>
      <w:r w:rsidRPr="00D17C6F">
        <w:t>Title VI of th</w:t>
      </w:r>
      <w:r w:rsidR="00A721F0" w:rsidRPr="00D17C6F">
        <w:t>e Civil Rights Act of 1964</w:t>
      </w:r>
      <w:r w:rsidR="00E14CAD">
        <w:br/>
      </w:r>
    </w:p>
    <w:p w14:paraId="278960DC" w14:textId="77777777" w:rsidR="006F1A36" w:rsidRPr="00D17C6F" w:rsidRDefault="006D57F2">
      <w:pPr>
        <w:pStyle w:val="Heading1"/>
        <w:tabs>
          <w:tab w:val="left" w:pos="2176"/>
        </w:tabs>
        <w:ind w:left="720" w:right="360" w:firstLine="0"/>
        <w:rPr>
          <w:b w:val="0"/>
        </w:rPr>
      </w:pPr>
      <w:r w:rsidRPr="00D17C6F">
        <w:rPr>
          <w:b w:val="0"/>
        </w:rPr>
        <w:t xml:space="preserve">Victims with limited English proficiency, or who have difficulty reading, writing, speaking, or understanding English, have the right to a competent interpreter at </w:t>
      </w:r>
      <w:r w:rsidRPr="00D17C6F">
        <w:rPr>
          <w:b w:val="0"/>
        </w:rPr>
        <w:lastRenderedPageBreak/>
        <w:t>no cost. In no circumstance should a friend or famil</w:t>
      </w:r>
      <w:r w:rsidR="00D17C6F" w:rsidRPr="00D17C6F">
        <w:rPr>
          <w:b w:val="0"/>
        </w:rPr>
        <w:t>y member be used to interpret, s</w:t>
      </w:r>
      <w:r w:rsidRPr="00D17C6F">
        <w:rPr>
          <w:b w:val="0"/>
        </w:rPr>
        <w:t>imilarly, victims with a disability should be provided an interpreter or appropriate accommodation to ensure that they have no barriers to reporting a sexual assault.</w:t>
      </w:r>
    </w:p>
    <w:p w14:paraId="5C559D3B" w14:textId="77777777" w:rsidR="00D17C6F" w:rsidRPr="00D17C6F" w:rsidRDefault="00D17C6F">
      <w:pPr>
        <w:pStyle w:val="Heading1"/>
        <w:tabs>
          <w:tab w:val="left" w:pos="2176"/>
        </w:tabs>
        <w:ind w:left="720" w:right="360" w:firstLine="0"/>
        <w:rPr>
          <w:b w:val="0"/>
        </w:rPr>
      </w:pPr>
    </w:p>
    <w:p w14:paraId="5B7DBAF2" w14:textId="7C480600" w:rsidR="009F71C4" w:rsidRPr="00D17C6F" w:rsidRDefault="00B3615C" w:rsidP="00262562">
      <w:pPr>
        <w:pStyle w:val="Heading1"/>
        <w:tabs>
          <w:tab w:val="left" w:pos="2176"/>
        </w:tabs>
        <w:ind w:left="0" w:right="360" w:firstLine="0"/>
        <w:rPr>
          <w:b w:val="0"/>
        </w:rPr>
      </w:pPr>
      <w:r w:rsidRPr="00D17C6F">
        <w:t>KRS 431.600</w:t>
      </w:r>
      <w:r w:rsidR="00E14CAD">
        <w:br/>
      </w:r>
    </w:p>
    <w:p w14:paraId="0179BFF1" w14:textId="77777777" w:rsidR="00B3615C" w:rsidRPr="00D17C6F" w:rsidRDefault="00B3615C" w:rsidP="00D17C6F">
      <w:pPr>
        <w:pStyle w:val="Heading1"/>
        <w:tabs>
          <w:tab w:val="left" w:pos="2176"/>
        </w:tabs>
        <w:ind w:left="720" w:right="360" w:firstLine="0"/>
      </w:pPr>
      <w:r w:rsidRPr="00D17C6F">
        <w:rPr>
          <w:b w:val="0"/>
        </w:rPr>
        <w:t xml:space="preserve">Coordinate child sexual abuse investigations according to KRS 431.600. </w:t>
      </w:r>
      <w:r w:rsidR="00B51E45" w:rsidRPr="00D17C6F">
        <w:rPr>
          <w:b w:val="0"/>
        </w:rPr>
        <w:t xml:space="preserve">A referral to a regional </w:t>
      </w:r>
      <w:r w:rsidR="009244A0">
        <w:rPr>
          <w:b w:val="0"/>
        </w:rPr>
        <w:t>C</w:t>
      </w:r>
      <w:r w:rsidR="00B51E45" w:rsidRPr="00D17C6F">
        <w:rPr>
          <w:b w:val="0"/>
        </w:rPr>
        <w:t xml:space="preserve">hildren’s </w:t>
      </w:r>
      <w:r w:rsidR="009244A0">
        <w:rPr>
          <w:b w:val="0"/>
        </w:rPr>
        <w:t>A</w:t>
      </w:r>
      <w:r w:rsidR="00B51E45" w:rsidRPr="00D17C6F">
        <w:rPr>
          <w:b w:val="0"/>
        </w:rPr>
        <w:t xml:space="preserve">dvocacy </w:t>
      </w:r>
      <w:r w:rsidR="009244A0">
        <w:rPr>
          <w:b w:val="0"/>
        </w:rPr>
        <w:t>C</w:t>
      </w:r>
      <w:r w:rsidR="00B51E45" w:rsidRPr="00D17C6F">
        <w:rPr>
          <w:b w:val="0"/>
        </w:rPr>
        <w:t xml:space="preserve">enter may be appropriate if the victim is under 18 years of age. </w:t>
      </w:r>
    </w:p>
    <w:p w14:paraId="36C534DA" w14:textId="77777777" w:rsidR="003A6BC0" w:rsidRDefault="003A6BC0" w:rsidP="00262562">
      <w:pPr>
        <w:pStyle w:val="Heading1"/>
        <w:tabs>
          <w:tab w:val="left" w:pos="2176"/>
        </w:tabs>
        <w:ind w:left="0" w:right="360" w:firstLine="0"/>
        <w:rPr>
          <w:u w:val="single"/>
        </w:rPr>
      </w:pPr>
    </w:p>
    <w:p w14:paraId="468960CB" w14:textId="77777777" w:rsidR="00262562" w:rsidRPr="00D17C6F" w:rsidRDefault="00D8081F" w:rsidP="00262562">
      <w:pPr>
        <w:pStyle w:val="Heading1"/>
        <w:tabs>
          <w:tab w:val="left" w:pos="2176"/>
        </w:tabs>
        <w:ind w:left="0" w:right="360" w:firstLine="0"/>
        <w:rPr>
          <w:u w:val="single"/>
        </w:rPr>
      </w:pPr>
      <w:r w:rsidRPr="00D17C6F">
        <w:rPr>
          <w:u w:val="single"/>
        </w:rPr>
        <w:t>SEXUAL ASSAULT</w:t>
      </w:r>
      <w:r w:rsidR="00262562" w:rsidRPr="00D17C6F">
        <w:rPr>
          <w:u w:val="single"/>
        </w:rPr>
        <w:t xml:space="preserve"> INVESTIGATION</w:t>
      </w:r>
    </w:p>
    <w:p w14:paraId="1F5329A2" w14:textId="77777777" w:rsidR="00E17A35" w:rsidRPr="00D17C6F" w:rsidRDefault="00E17A35">
      <w:pPr>
        <w:rPr>
          <w:sz w:val="24"/>
          <w:szCs w:val="24"/>
        </w:rPr>
      </w:pPr>
    </w:p>
    <w:p w14:paraId="5470F62E" w14:textId="2EFF7040" w:rsidR="002C5BA3" w:rsidRPr="00D17C6F" w:rsidRDefault="00D8081F" w:rsidP="002C5BA3">
      <w:pPr>
        <w:pStyle w:val="ListParagraph"/>
        <w:numPr>
          <w:ilvl w:val="0"/>
          <w:numId w:val="3"/>
        </w:numPr>
        <w:rPr>
          <w:sz w:val="24"/>
          <w:szCs w:val="24"/>
        </w:rPr>
      </w:pPr>
      <w:r w:rsidRPr="00D17C6F">
        <w:rPr>
          <w:sz w:val="24"/>
          <w:szCs w:val="24"/>
        </w:rPr>
        <w:t xml:space="preserve">Sexual assault investigations shall be conducted in accordance with </w:t>
      </w:r>
      <w:r w:rsidR="0030165B" w:rsidRPr="00D17C6F">
        <w:rPr>
          <w:sz w:val="24"/>
          <w:szCs w:val="24"/>
        </w:rPr>
        <w:t>all agency policies</w:t>
      </w:r>
      <w:r w:rsidRPr="00D17C6F">
        <w:rPr>
          <w:sz w:val="24"/>
          <w:szCs w:val="24"/>
        </w:rPr>
        <w:t xml:space="preserve"> including</w:t>
      </w:r>
      <w:r w:rsidR="00D17C6F" w:rsidRPr="00D17C6F">
        <w:rPr>
          <w:sz w:val="24"/>
          <w:szCs w:val="24"/>
        </w:rPr>
        <w:t>,</w:t>
      </w:r>
      <w:r w:rsidRPr="00D17C6F">
        <w:rPr>
          <w:sz w:val="24"/>
          <w:szCs w:val="24"/>
        </w:rPr>
        <w:t xml:space="preserve"> but not limited to</w:t>
      </w:r>
      <w:r w:rsidR="00D17C6F" w:rsidRPr="00D17C6F">
        <w:rPr>
          <w:sz w:val="24"/>
          <w:szCs w:val="24"/>
        </w:rPr>
        <w:t>,</w:t>
      </w:r>
      <w:r w:rsidRPr="00D17C6F">
        <w:rPr>
          <w:sz w:val="24"/>
          <w:szCs w:val="24"/>
        </w:rPr>
        <w:t xml:space="preserve"> preliminary investigation, follow-up investigation,</w:t>
      </w:r>
      <w:r w:rsidR="00082AAE" w:rsidRPr="00D17C6F">
        <w:rPr>
          <w:sz w:val="24"/>
          <w:szCs w:val="24"/>
        </w:rPr>
        <w:t xml:space="preserve"> and assignment of </w:t>
      </w:r>
      <w:r w:rsidR="00E137EB" w:rsidRPr="00D17C6F">
        <w:rPr>
          <w:sz w:val="24"/>
          <w:szCs w:val="24"/>
        </w:rPr>
        <w:t>detective personnel</w:t>
      </w:r>
      <w:r w:rsidR="00082AAE" w:rsidRPr="00D17C6F">
        <w:rPr>
          <w:sz w:val="24"/>
          <w:szCs w:val="24"/>
        </w:rPr>
        <w:t>.</w:t>
      </w:r>
      <w:r w:rsidR="00BD418E">
        <w:rPr>
          <w:sz w:val="24"/>
          <w:szCs w:val="24"/>
        </w:rPr>
        <w:br/>
      </w:r>
    </w:p>
    <w:p w14:paraId="0CA123BF" w14:textId="00AB2954" w:rsidR="00E5521C" w:rsidRPr="00D17C6F" w:rsidRDefault="002221C7" w:rsidP="00E5521C">
      <w:pPr>
        <w:pStyle w:val="ListParagraph"/>
        <w:numPr>
          <w:ilvl w:val="1"/>
          <w:numId w:val="3"/>
        </w:numPr>
        <w:rPr>
          <w:sz w:val="24"/>
          <w:szCs w:val="24"/>
        </w:rPr>
      </w:pPr>
      <w:r w:rsidRPr="00D17C6F">
        <w:rPr>
          <w:sz w:val="24"/>
          <w:szCs w:val="24"/>
        </w:rPr>
        <w:t>The investigating officer shall approach the victim in a respectful, non-judgmental manner while maintaining objectivity.</w:t>
      </w:r>
      <w:r w:rsidR="00BD418E">
        <w:rPr>
          <w:sz w:val="24"/>
          <w:szCs w:val="24"/>
        </w:rPr>
        <w:br/>
      </w:r>
    </w:p>
    <w:p w14:paraId="1CE5127B" w14:textId="77777777" w:rsidR="00E5521C" w:rsidRPr="00D17C6F" w:rsidRDefault="00E5521C" w:rsidP="00E5521C">
      <w:pPr>
        <w:pStyle w:val="ListParagraph"/>
        <w:numPr>
          <w:ilvl w:val="2"/>
          <w:numId w:val="3"/>
        </w:numPr>
        <w:rPr>
          <w:sz w:val="24"/>
          <w:szCs w:val="24"/>
        </w:rPr>
      </w:pPr>
      <w:r w:rsidRPr="00D17C6F">
        <w:rPr>
          <w:sz w:val="24"/>
          <w:szCs w:val="24"/>
        </w:rPr>
        <w:t>Individuals respond to trauma in a variety of ways.</w:t>
      </w:r>
      <w:r w:rsidR="00D17C6F" w:rsidRPr="00D17C6F">
        <w:rPr>
          <w:sz w:val="24"/>
          <w:szCs w:val="24"/>
        </w:rPr>
        <w:t xml:space="preserve"> </w:t>
      </w:r>
      <w:r w:rsidRPr="00D17C6F">
        <w:rPr>
          <w:sz w:val="24"/>
          <w:szCs w:val="24"/>
        </w:rPr>
        <w:t>Victims may display a range of demeanor and emotions from crying and distress, to extremely calm and/or seemingly cheerful.</w:t>
      </w:r>
    </w:p>
    <w:p w14:paraId="1B02C616" w14:textId="77777777" w:rsidR="00E5521C" w:rsidRPr="00D17C6F" w:rsidRDefault="00E5521C" w:rsidP="00E5521C">
      <w:pPr>
        <w:pStyle w:val="ListParagraph"/>
        <w:numPr>
          <w:ilvl w:val="2"/>
          <w:numId w:val="3"/>
        </w:numPr>
        <w:rPr>
          <w:sz w:val="24"/>
          <w:szCs w:val="24"/>
        </w:rPr>
      </w:pPr>
      <w:r w:rsidRPr="00D17C6F">
        <w:rPr>
          <w:sz w:val="24"/>
          <w:szCs w:val="24"/>
        </w:rPr>
        <w:t xml:space="preserve">Trauma can affect a victim’s ability to give a detailed or chronological statement. A person experiencing trauma often will recall and/or disclose information over </w:t>
      </w:r>
      <w:proofErr w:type="gramStart"/>
      <w:r w:rsidRPr="00D17C6F">
        <w:rPr>
          <w:sz w:val="24"/>
          <w:szCs w:val="24"/>
        </w:rPr>
        <w:t>a period of time</w:t>
      </w:r>
      <w:proofErr w:type="gramEnd"/>
      <w:r w:rsidRPr="00D17C6F">
        <w:rPr>
          <w:sz w:val="24"/>
          <w:szCs w:val="24"/>
        </w:rPr>
        <w:t xml:space="preserve"> as memories are triggered and as trust is established with responders. </w:t>
      </w:r>
    </w:p>
    <w:p w14:paraId="547605D2" w14:textId="14212DA3" w:rsidR="00E5521C" w:rsidRPr="00D17C6F" w:rsidRDefault="00E5521C" w:rsidP="00E5521C">
      <w:pPr>
        <w:pStyle w:val="ListParagraph"/>
        <w:numPr>
          <w:ilvl w:val="2"/>
          <w:numId w:val="3"/>
        </w:numPr>
        <w:rPr>
          <w:sz w:val="24"/>
          <w:szCs w:val="24"/>
        </w:rPr>
      </w:pPr>
      <w:r w:rsidRPr="00D17C6F">
        <w:rPr>
          <w:sz w:val="24"/>
          <w:szCs w:val="24"/>
        </w:rPr>
        <w:t>A victim’s demeanor or inability to articulate a chronological narrative should not be a determining factor in judging credibility.</w:t>
      </w:r>
      <w:r w:rsidR="00D17C6F" w:rsidRPr="00D17C6F">
        <w:rPr>
          <w:sz w:val="24"/>
          <w:szCs w:val="24"/>
        </w:rPr>
        <w:t xml:space="preserve"> </w:t>
      </w:r>
      <w:r w:rsidRPr="00D17C6F">
        <w:rPr>
          <w:sz w:val="24"/>
          <w:szCs w:val="24"/>
        </w:rPr>
        <w:t>Responses to trauma can appear to be contradictory.</w:t>
      </w:r>
    </w:p>
    <w:p w14:paraId="4ECA1C3C" w14:textId="18822390" w:rsidR="009D4D5B" w:rsidRPr="00D17C6F" w:rsidRDefault="008877A5" w:rsidP="00E5521C">
      <w:pPr>
        <w:pStyle w:val="ListParagraph"/>
        <w:numPr>
          <w:ilvl w:val="2"/>
          <w:numId w:val="3"/>
        </w:numPr>
        <w:rPr>
          <w:sz w:val="24"/>
          <w:szCs w:val="24"/>
        </w:rPr>
      </w:pPr>
      <w:r w:rsidRPr="00D17C6F">
        <w:rPr>
          <w:sz w:val="24"/>
          <w:szCs w:val="24"/>
        </w:rPr>
        <w:t xml:space="preserve">Allowing the victim </w:t>
      </w:r>
      <w:r w:rsidR="00B51E45" w:rsidRPr="00D17C6F">
        <w:rPr>
          <w:sz w:val="24"/>
          <w:szCs w:val="24"/>
        </w:rPr>
        <w:t xml:space="preserve">2-3 </w:t>
      </w:r>
      <w:r w:rsidRPr="00D17C6F">
        <w:rPr>
          <w:sz w:val="24"/>
          <w:szCs w:val="24"/>
        </w:rPr>
        <w:t>sleep cycle</w:t>
      </w:r>
      <w:r w:rsidR="00B51E45" w:rsidRPr="00D17C6F">
        <w:rPr>
          <w:sz w:val="24"/>
          <w:szCs w:val="24"/>
        </w:rPr>
        <w:t>s</w:t>
      </w:r>
      <w:r w:rsidRPr="00D17C6F">
        <w:rPr>
          <w:sz w:val="24"/>
          <w:szCs w:val="24"/>
        </w:rPr>
        <w:t xml:space="preserve"> prior to interviewing is recommended.</w:t>
      </w:r>
      <w:r w:rsidR="00BD418E">
        <w:rPr>
          <w:sz w:val="24"/>
          <w:szCs w:val="24"/>
        </w:rPr>
        <w:br/>
      </w:r>
    </w:p>
    <w:p w14:paraId="3AAA068F" w14:textId="539B1CC2" w:rsidR="008B3A4D" w:rsidRPr="00D17C6F" w:rsidRDefault="00C77B18" w:rsidP="004F1F45">
      <w:pPr>
        <w:pStyle w:val="ListParagraph"/>
        <w:numPr>
          <w:ilvl w:val="1"/>
          <w:numId w:val="3"/>
        </w:numPr>
        <w:rPr>
          <w:sz w:val="24"/>
          <w:szCs w:val="24"/>
        </w:rPr>
      </w:pPr>
      <w:r w:rsidRPr="00D17C6F">
        <w:rPr>
          <w:sz w:val="24"/>
          <w:szCs w:val="24"/>
        </w:rPr>
        <w:t xml:space="preserve">A sexual assault investigation </w:t>
      </w:r>
      <w:r w:rsidR="008B3A4D" w:rsidRPr="00D17C6F">
        <w:rPr>
          <w:sz w:val="24"/>
          <w:szCs w:val="24"/>
        </w:rPr>
        <w:t xml:space="preserve">shall </w:t>
      </w:r>
      <w:r w:rsidRPr="00D17C6F">
        <w:rPr>
          <w:sz w:val="24"/>
          <w:szCs w:val="24"/>
        </w:rPr>
        <w:t>be conducted even when the report by the victim to law enforcement is delayed.</w:t>
      </w:r>
      <w:r w:rsidR="00BD418E">
        <w:rPr>
          <w:sz w:val="24"/>
          <w:szCs w:val="24"/>
        </w:rPr>
        <w:br/>
      </w:r>
    </w:p>
    <w:p w14:paraId="27CA70D8" w14:textId="415D2FBE" w:rsidR="00773239" w:rsidRPr="00D17C6F" w:rsidRDefault="004F1F45" w:rsidP="004F1F45">
      <w:pPr>
        <w:pStyle w:val="ListParagraph"/>
        <w:numPr>
          <w:ilvl w:val="1"/>
          <w:numId w:val="3"/>
        </w:numPr>
        <w:rPr>
          <w:sz w:val="24"/>
          <w:szCs w:val="24"/>
        </w:rPr>
      </w:pPr>
      <w:r w:rsidRPr="00D17C6F">
        <w:rPr>
          <w:sz w:val="24"/>
          <w:szCs w:val="24"/>
        </w:rPr>
        <w:t xml:space="preserve">The investigating officer shall advise the victim that a medical examination is recommended for </w:t>
      </w:r>
      <w:r w:rsidR="00D1756F" w:rsidRPr="00D17C6F">
        <w:rPr>
          <w:sz w:val="24"/>
          <w:szCs w:val="24"/>
        </w:rPr>
        <w:t>their</w:t>
      </w:r>
      <w:r w:rsidRPr="00D17C6F">
        <w:rPr>
          <w:sz w:val="24"/>
          <w:szCs w:val="24"/>
        </w:rPr>
        <w:t xml:space="preserve"> well-being and may yield evidence of the assault even if </w:t>
      </w:r>
      <w:r w:rsidR="00D1756F" w:rsidRPr="00D17C6F">
        <w:rPr>
          <w:sz w:val="24"/>
          <w:szCs w:val="24"/>
        </w:rPr>
        <w:t xml:space="preserve">the victim </w:t>
      </w:r>
      <w:r w:rsidRPr="00D17C6F">
        <w:rPr>
          <w:sz w:val="24"/>
          <w:szCs w:val="24"/>
        </w:rPr>
        <w:t xml:space="preserve">has already showered or cleaned </w:t>
      </w:r>
      <w:r w:rsidR="00D1756F" w:rsidRPr="00D17C6F">
        <w:rPr>
          <w:sz w:val="24"/>
          <w:szCs w:val="24"/>
        </w:rPr>
        <w:t>themselves</w:t>
      </w:r>
      <w:r w:rsidRPr="00D17C6F">
        <w:rPr>
          <w:sz w:val="24"/>
          <w:szCs w:val="24"/>
        </w:rPr>
        <w:t>.</w:t>
      </w:r>
      <w:r w:rsidR="00D17C6F" w:rsidRPr="00D17C6F">
        <w:rPr>
          <w:sz w:val="24"/>
          <w:szCs w:val="24"/>
        </w:rPr>
        <w:t xml:space="preserve"> </w:t>
      </w:r>
      <w:r w:rsidR="00BD418E">
        <w:rPr>
          <w:sz w:val="24"/>
          <w:szCs w:val="24"/>
        </w:rPr>
        <w:br/>
      </w:r>
    </w:p>
    <w:p w14:paraId="1C57E098" w14:textId="77777777" w:rsidR="00363E27" w:rsidRPr="00D17C6F" w:rsidRDefault="00363E27" w:rsidP="00363E27">
      <w:pPr>
        <w:pStyle w:val="ListParagraph"/>
        <w:numPr>
          <w:ilvl w:val="2"/>
          <w:numId w:val="3"/>
        </w:numPr>
        <w:rPr>
          <w:sz w:val="24"/>
          <w:szCs w:val="24"/>
        </w:rPr>
      </w:pPr>
      <w:r w:rsidRPr="00D17C6F">
        <w:rPr>
          <w:sz w:val="24"/>
          <w:szCs w:val="24"/>
        </w:rPr>
        <w:t>Victims have the right to receive a medical forensic examination and have evidence collected even if they do not want to participate in the criminal justice process.</w:t>
      </w:r>
      <w:r w:rsidR="00D17C6F" w:rsidRPr="00D17C6F">
        <w:rPr>
          <w:sz w:val="24"/>
          <w:szCs w:val="24"/>
        </w:rPr>
        <w:t xml:space="preserve"> </w:t>
      </w:r>
    </w:p>
    <w:p w14:paraId="724FDDB0" w14:textId="2EFD56A8" w:rsidR="004F1F45" w:rsidRPr="00D17C6F" w:rsidRDefault="004F1F45" w:rsidP="00773239">
      <w:pPr>
        <w:pStyle w:val="ListParagraph"/>
        <w:numPr>
          <w:ilvl w:val="2"/>
          <w:numId w:val="3"/>
        </w:numPr>
        <w:rPr>
          <w:sz w:val="24"/>
          <w:szCs w:val="24"/>
        </w:rPr>
      </w:pPr>
      <w:r w:rsidRPr="00D17C6F">
        <w:rPr>
          <w:sz w:val="24"/>
          <w:szCs w:val="24"/>
        </w:rPr>
        <w:t>Submission to a medical examination or sexual assault forensic examination shall not be a condition of continuing the sexual assault investigation.</w:t>
      </w:r>
      <w:r w:rsidR="00BD418E">
        <w:rPr>
          <w:sz w:val="24"/>
          <w:szCs w:val="24"/>
        </w:rPr>
        <w:br/>
      </w:r>
    </w:p>
    <w:p w14:paraId="7CF8AB29" w14:textId="47F226AD" w:rsidR="00363E27" w:rsidRPr="00D17C6F" w:rsidRDefault="006C1410" w:rsidP="006C1410">
      <w:pPr>
        <w:pStyle w:val="ListParagraph"/>
        <w:numPr>
          <w:ilvl w:val="1"/>
          <w:numId w:val="3"/>
        </w:numPr>
        <w:rPr>
          <w:sz w:val="24"/>
          <w:szCs w:val="24"/>
        </w:rPr>
      </w:pPr>
      <w:r w:rsidRPr="00D17C6F">
        <w:rPr>
          <w:sz w:val="24"/>
          <w:szCs w:val="24"/>
        </w:rPr>
        <w:t xml:space="preserve">When the investigating officer suspects that the assault may have been facilitated with drugs or alcohol, the necessity for collection of urine and/or blood samples </w:t>
      </w:r>
      <w:r w:rsidR="00D1756F" w:rsidRPr="00D17C6F">
        <w:rPr>
          <w:sz w:val="24"/>
          <w:szCs w:val="24"/>
        </w:rPr>
        <w:t xml:space="preserve">should be determined </w:t>
      </w:r>
      <w:r w:rsidRPr="00D17C6F">
        <w:rPr>
          <w:sz w:val="24"/>
          <w:szCs w:val="24"/>
        </w:rPr>
        <w:t xml:space="preserve">as soon as possible. </w:t>
      </w:r>
      <w:r w:rsidR="00CF2800" w:rsidRPr="00D17C6F">
        <w:rPr>
          <w:sz w:val="24"/>
          <w:szCs w:val="24"/>
        </w:rPr>
        <w:t xml:space="preserve">Consent from the victim must be </w:t>
      </w:r>
      <w:r w:rsidR="00CF2800" w:rsidRPr="00D17C6F">
        <w:rPr>
          <w:sz w:val="24"/>
          <w:szCs w:val="24"/>
        </w:rPr>
        <w:lastRenderedPageBreak/>
        <w:t>obtained to collect any samples.</w:t>
      </w:r>
      <w:r w:rsidR="00BD418E">
        <w:rPr>
          <w:sz w:val="24"/>
          <w:szCs w:val="24"/>
        </w:rPr>
        <w:br/>
      </w:r>
    </w:p>
    <w:p w14:paraId="6ACB3868" w14:textId="77777777" w:rsidR="006C1410" w:rsidRPr="00D17C6F" w:rsidRDefault="006C1410" w:rsidP="00363E27">
      <w:pPr>
        <w:pStyle w:val="ListParagraph"/>
        <w:numPr>
          <w:ilvl w:val="2"/>
          <w:numId w:val="3"/>
        </w:numPr>
        <w:rPr>
          <w:sz w:val="24"/>
          <w:szCs w:val="24"/>
        </w:rPr>
      </w:pPr>
      <w:r w:rsidRPr="00D17C6F">
        <w:rPr>
          <w:sz w:val="24"/>
          <w:szCs w:val="24"/>
        </w:rPr>
        <w:t>Submission of urine and/or blood samples by the victim shall not be a condition of continuing the sexual assault investigation.</w:t>
      </w:r>
    </w:p>
    <w:p w14:paraId="113FD902" w14:textId="2FC284CE" w:rsidR="007653CD" w:rsidRPr="00D17C6F" w:rsidRDefault="007653CD" w:rsidP="007653CD">
      <w:pPr>
        <w:pStyle w:val="ListParagraph"/>
        <w:numPr>
          <w:ilvl w:val="2"/>
          <w:numId w:val="3"/>
        </w:numPr>
        <w:rPr>
          <w:sz w:val="24"/>
          <w:szCs w:val="24"/>
        </w:rPr>
      </w:pPr>
      <w:r w:rsidRPr="00D17C6F">
        <w:rPr>
          <w:sz w:val="24"/>
          <w:szCs w:val="24"/>
        </w:rPr>
        <w:t xml:space="preserve">A victim’s voluntary use of alcohol, drugs, or illegal substances shall not be a determining factor in </w:t>
      </w:r>
      <w:proofErr w:type="gramStart"/>
      <w:r w:rsidRPr="00D17C6F">
        <w:rPr>
          <w:sz w:val="24"/>
          <w:szCs w:val="24"/>
        </w:rPr>
        <w:t>whether or not</w:t>
      </w:r>
      <w:proofErr w:type="gramEnd"/>
      <w:r w:rsidRPr="00D17C6F">
        <w:rPr>
          <w:sz w:val="24"/>
          <w:szCs w:val="24"/>
        </w:rPr>
        <w:t xml:space="preserve"> a sexual assault was perpetrated.</w:t>
      </w:r>
      <w:r w:rsidR="00BD418E">
        <w:rPr>
          <w:sz w:val="24"/>
          <w:szCs w:val="24"/>
        </w:rPr>
        <w:br/>
      </w:r>
    </w:p>
    <w:p w14:paraId="5974D281" w14:textId="546D9107" w:rsidR="00733977" w:rsidRPr="00D17C6F" w:rsidRDefault="00E137EB" w:rsidP="00E137EB">
      <w:pPr>
        <w:pStyle w:val="ListParagraph"/>
        <w:numPr>
          <w:ilvl w:val="1"/>
          <w:numId w:val="3"/>
        </w:numPr>
        <w:rPr>
          <w:sz w:val="24"/>
          <w:szCs w:val="24"/>
        </w:rPr>
      </w:pPr>
      <w:r w:rsidRPr="00D17C6F">
        <w:rPr>
          <w:sz w:val="24"/>
          <w:szCs w:val="24"/>
        </w:rPr>
        <w:t>The</w:t>
      </w:r>
      <w:r w:rsidR="00685984" w:rsidRPr="00D17C6F">
        <w:rPr>
          <w:sz w:val="24"/>
          <w:szCs w:val="24"/>
        </w:rPr>
        <w:t xml:space="preserve"> investigat</w:t>
      </w:r>
      <w:r w:rsidR="00113509" w:rsidRPr="00D17C6F">
        <w:rPr>
          <w:sz w:val="24"/>
          <w:szCs w:val="24"/>
        </w:rPr>
        <w:t>ing officer</w:t>
      </w:r>
      <w:r w:rsidR="00A10AC1" w:rsidRPr="00D17C6F">
        <w:rPr>
          <w:sz w:val="24"/>
          <w:szCs w:val="24"/>
        </w:rPr>
        <w:t xml:space="preserve"> and polygraph examiner</w:t>
      </w:r>
      <w:r w:rsidR="00D17C6F" w:rsidRPr="00D17C6F">
        <w:rPr>
          <w:sz w:val="24"/>
          <w:szCs w:val="24"/>
        </w:rPr>
        <w:t xml:space="preserve"> </w:t>
      </w:r>
      <w:r w:rsidR="00685984" w:rsidRPr="00D17C6F">
        <w:rPr>
          <w:sz w:val="24"/>
          <w:szCs w:val="24"/>
        </w:rPr>
        <w:t>shall</w:t>
      </w:r>
      <w:r w:rsidRPr="00D17C6F">
        <w:rPr>
          <w:sz w:val="24"/>
          <w:szCs w:val="24"/>
        </w:rPr>
        <w:t xml:space="preserve"> not</w:t>
      </w:r>
      <w:r w:rsidR="00685984" w:rsidRPr="00D17C6F">
        <w:rPr>
          <w:sz w:val="24"/>
          <w:szCs w:val="24"/>
        </w:rPr>
        <w:t xml:space="preserve"> request or require </w:t>
      </w:r>
      <w:r w:rsidR="00113509" w:rsidRPr="00D17C6F">
        <w:rPr>
          <w:sz w:val="24"/>
          <w:szCs w:val="24"/>
        </w:rPr>
        <w:t>any</w:t>
      </w:r>
      <w:r w:rsidR="00685984" w:rsidRPr="00D17C6F">
        <w:rPr>
          <w:sz w:val="24"/>
          <w:szCs w:val="24"/>
        </w:rPr>
        <w:t xml:space="preserve"> victim to submit to a polygraph examination as a condition of proceeding with the investigation. </w:t>
      </w:r>
      <w:r w:rsidR="00BD418E">
        <w:rPr>
          <w:sz w:val="24"/>
          <w:szCs w:val="24"/>
        </w:rPr>
        <w:br/>
      </w:r>
    </w:p>
    <w:p w14:paraId="71BC8237" w14:textId="0A618A3F" w:rsidR="00596B8A" w:rsidRPr="00D17C6F" w:rsidRDefault="00596B8A" w:rsidP="002C5BA3">
      <w:pPr>
        <w:pStyle w:val="ListParagraph"/>
        <w:numPr>
          <w:ilvl w:val="0"/>
          <w:numId w:val="3"/>
        </w:numPr>
        <w:rPr>
          <w:sz w:val="24"/>
          <w:szCs w:val="24"/>
        </w:rPr>
      </w:pPr>
      <w:r w:rsidRPr="00D17C6F">
        <w:rPr>
          <w:sz w:val="24"/>
          <w:szCs w:val="24"/>
        </w:rPr>
        <w:t xml:space="preserve">The </w:t>
      </w:r>
      <w:r w:rsidR="00082AAE" w:rsidRPr="00D17C6F">
        <w:rPr>
          <w:sz w:val="24"/>
          <w:szCs w:val="24"/>
        </w:rPr>
        <w:t>investigating</w:t>
      </w:r>
      <w:r w:rsidR="00D17C6F" w:rsidRPr="00D17C6F">
        <w:rPr>
          <w:sz w:val="24"/>
          <w:szCs w:val="24"/>
        </w:rPr>
        <w:t xml:space="preserve"> </w:t>
      </w:r>
      <w:r w:rsidR="00D1756F" w:rsidRPr="00D17C6F">
        <w:rPr>
          <w:sz w:val="24"/>
          <w:szCs w:val="24"/>
        </w:rPr>
        <w:t xml:space="preserve">officer </w:t>
      </w:r>
      <w:r w:rsidRPr="00D17C6F">
        <w:rPr>
          <w:sz w:val="24"/>
          <w:szCs w:val="24"/>
        </w:rPr>
        <w:t xml:space="preserve">shall offer </w:t>
      </w:r>
      <w:r w:rsidR="00DF5BBD" w:rsidRPr="00D17C6F">
        <w:rPr>
          <w:sz w:val="24"/>
          <w:szCs w:val="24"/>
        </w:rPr>
        <w:t>victim assistance and support</w:t>
      </w:r>
      <w:r w:rsidR="007847B5" w:rsidRPr="00D17C6F">
        <w:rPr>
          <w:sz w:val="24"/>
          <w:szCs w:val="24"/>
        </w:rPr>
        <w:t>.</w:t>
      </w:r>
      <w:r w:rsidR="00DF5BBD" w:rsidRPr="00D17C6F">
        <w:rPr>
          <w:sz w:val="24"/>
          <w:szCs w:val="24"/>
        </w:rPr>
        <w:t xml:space="preserve"> If requested by the victim, the officer shall</w:t>
      </w:r>
      <w:r w:rsidR="005E54D2" w:rsidRPr="00D17C6F">
        <w:rPr>
          <w:sz w:val="24"/>
          <w:szCs w:val="24"/>
        </w:rPr>
        <w:t xml:space="preserve"> facilitate</w:t>
      </w:r>
      <w:r w:rsidR="009F008B" w:rsidRPr="00D17C6F">
        <w:rPr>
          <w:sz w:val="24"/>
          <w:szCs w:val="24"/>
        </w:rPr>
        <w:t xml:space="preserve"> or provide the following</w:t>
      </w:r>
      <w:r w:rsidR="00DF5BBD" w:rsidRPr="00D17C6F">
        <w:rPr>
          <w:sz w:val="24"/>
          <w:szCs w:val="24"/>
        </w:rPr>
        <w:t>:</w:t>
      </w:r>
      <w:r w:rsidR="00BD418E">
        <w:rPr>
          <w:sz w:val="24"/>
          <w:szCs w:val="24"/>
        </w:rPr>
        <w:br/>
      </w:r>
    </w:p>
    <w:p w14:paraId="67DC72A3" w14:textId="5B01380D" w:rsidR="00596B8A" w:rsidRPr="00D17C6F" w:rsidRDefault="00596B8A" w:rsidP="00596B8A">
      <w:pPr>
        <w:pStyle w:val="ListParagraph"/>
        <w:numPr>
          <w:ilvl w:val="1"/>
          <w:numId w:val="3"/>
        </w:numPr>
        <w:rPr>
          <w:sz w:val="24"/>
          <w:szCs w:val="24"/>
        </w:rPr>
      </w:pPr>
      <w:r w:rsidRPr="00D17C6F">
        <w:rPr>
          <w:sz w:val="24"/>
          <w:szCs w:val="24"/>
        </w:rPr>
        <w:t>Contact</w:t>
      </w:r>
      <w:r w:rsidR="00CA323B" w:rsidRPr="00D17C6F">
        <w:rPr>
          <w:sz w:val="24"/>
          <w:szCs w:val="24"/>
        </w:rPr>
        <w:t>ing</w:t>
      </w:r>
      <w:r w:rsidR="00D17C6F" w:rsidRPr="00D17C6F">
        <w:rPr>
          <w:sz w:val="24"/>
          <w:szCs w:val="24"/>
        </w:rPr>
        <w:t xml:space="preserve"> </w:t>
      </w:r>
      <w:r w:rsidR="00BE29FF" w:rsidRPr="00D17C6F">
        <w:rPr>
          <w:sz w:val="24"/>
          <w:szCs w:val="24"/>
        </w:rPr>
        <w:t>a support person of the victim’s choice.</w:t>
      </w:r>
      <w:r w:rsidR="00BD418E">
        <w:rPr>
          <w:sz w:val="24"/>
          <w:szCs w:val="24"/>
        </w:rPr>
        <w:br/>
      </w:r>
    </w:p>
    <w:p w14:paraId="0F26BE65" w14:textId="58D02828" w:rsidR="00BE29FF" w:rsidRPr="00D17C6F" w:rsidRDefault="00BE29FF" w:rsidP="00596B8A">
      <w:pPr>
        <w:pStyle w:val="ListParagraph"/>
        <w:numPr>
          <w:ilvl w:val="1"/>
          <w:numId w:val="3"/>
        </w:numPr>
        <w:rPr>
          <w:sz w:val="24"/>
          <w:szCs w:val="24"/>
        </w:rPr>
      </w:pPr>
      <w:r w:rsidRPr="00D17C6F">
        <w:rPr>
          <w:sz w:val="24"/>
          <w:szCs w:val="24"/>
        </w:rPr>
        <w:t>Contact</w:t>
      </w:r>
      <w:r w:rsidR="00CA323B" w:rsidRPr="00D17C6F">
        <w:rPr>
          <w:sz w:val="24"/>
          <w:szCs w:val="24"/>
        </w:rPr>
        <w:t>ing</w:t>
      </w:r>
      <w:r w:rsidR="00D17C6F" w:rsidRPr="00D17C6F">
        <w:rPr>
          <w:sz w:val="24"/>
          <w:szCs w:val="24"/>
        </w:rPr>
        <w:t xml:space="preserve"> </w:t>
      </w:r>
      <w:r w:rsidRPr="00D17C6F">
        <w:rPr>
          <w:sz w:val="24"/>
          <w:szCs w:val="24"/>
        </w:rPr>
        <w:t>a victim advocate on the victim’s behalf as soon as possible.</w:t>
      </w:r>
      <w:r w:rsidR="00BD418E">
        <w:rPr>
          <w:sz w:val="24"/>
          <w:szCs w:val="24"/>
        </w:rPr>
        <w:br/>
      </w:r>
    </w:p>
    <w:p w14:paraId="5C62E0BD" w14:textId="44A173C7" w:rsidR="007847B5" w:rsidRPr="00D17C6F" w:rsidRDefault="00773239" w:rsidP="007847B5">
      <w:pPr>
        <w:pStyle w:val="ListParagraph"/>
        <w:numPr>
          <w:ilvl w:val="1"/>
          <w:numId w:val="3"/>
        </w:numPr>
        <w:rPr>
          <w:sz w:val="24"/>
          <w:szCs w:val="24"/>
        </w:rPr>
      </w:pPr>
      <w:r w:rsidRPr="00D17C6F">
        <w:rPr>
          <w:sz w:val="24"/>
          <w:szCs w:val="24"/>
        </w:rPr>
        <w:t>A</w:t>
      </w:r>
      <w:r w:rsidR="00CA323B" w:rsidRPr="00D17C6F">
        <w:rPr>
          <w:sz w:val="24"/>
          <w:szCs w:val="24"/>
        </w:rPr>
        <w:t>rranging</w:t>
      </w:r>
      <w:r w:rsidR="00BE29FF" w:rsidRPr="00D17C6F">
        <w:rPr>
          <w:sz w:val="24"/>
          <w:szCs w:val="24"/>
        </w:rPr>
        <w:t xml:space="preserve"> transportation to a safe place, if necessary.</w:t>
      </w:r>
      <w:r w:rsidR="00BD418E">
        <w:rPr>
          <w:sz w:val="24"/>
          <w:szCs w:val="24"/>
        </w:rPr>
        <w:br/>
      </w:r>
    </w:p>
    <w:p w14:paraId="58548767" w14:textId="00E36CB1" w:rsidR="009F008B" w:rsidRPr="00D17C6F" w:rsidRDefault="007847B5" w:rsidP="009F008B">
      <w:pPr>
        <w:pStyle w:val="ListParagraph"/>
        <w:numPr>
          <w:ilvl w:val="1"/>
          <w:numId w:val="3"/>
        </w:numPr>
        <w:rPr>
          <w:sz w:val="24"/>
          <w:szCs w:val="24"/>
        </w:rPr>
      </w:pPr>
      <w:r w:rsidRPr="00D17C6F">
        <w:rPr>
          <w:sz w:val="24"/>
          <w:szCs w:val="24"/>
        </w:rPr>
        <w:t xml:space="preserve">Advise the victim </w:t>
      </w:r>
      <w:r w:rsidR="00D1756F" w:rsidRPr="00D17C6F">
        <w:rPr>
          <w:sz w:val="24"/>
          <w:szCs w:val="24"/>
        </w:rPr>
        <w:t xml:space="preserve">what </w:t>
      </w:r>
      <w:r w:rsidRPr="00D17C6F">
        <w:rPr>
          <w:sz w:val="24"/>
          <w:szCs w:val="24"/>
        </w:rPr>
        <w:t xml:space="preserve">to do if the suspect or the suspect’s companions or family threatens or otherwise intimidates </w:t>
      </w:r>
      <w:r w:rsidR="00D1756F" w:rsidRPr="00D17C6F">
        <w:rPr>
          <w:sz w:val="24"/>
          <w:szCs w:val="24"/>
        </w:rPr>
        <w:t>the victim</w:t>
      </w:r>
      <w:r w:rsidRPr="00D17C6F">
        <w:rPr>
          <w:sz w:val="24"/>
          <w:szCs w:val="24"/>
        </w:rPr>
        <w:t>.</w:t>
      </w:r>
      <w:r w:rsidR="00BD418E">
        <w:rPr>
          <w:sz w:val="24"/>
          <w:szCs w:val="24"/>
        </w:rPr>
        <w:br/>
      </w:r>
    </w:p>
    <w:p w14:paraId="3DDB64F7" w14:textId="2FCD7C26" w:rsidR="009F008B" w:rsidRPr="00D17C6F" w:rsidRDefault="009F008B" w:rsidP="009F008B">
      <w:pPr>
        <w:pStyle w:val="ListParagraph"/>
        <w:numPr>
          <w:ilvl w:val="1"/>
          <w:numId w:val="3"/>
        </w:numPr>
        <w:rPr>
          <w:sz w:val="24"/>
          <w:szCs w:val="24"/>
        </w:rPr>
      </w:pPr>
      <w:r w:rsidRPr="00D17C6F">
        <w:rPr>
          <w:sz w:val="24"/>
          <w:szCs w:val="24"/>
        </w:rPr>
        <w:t>Inform the victim of subsequent steps in the processing of the case.</w:t>
      </w:r>
      <w:r w:rsidR="00BD418E">
        <w:rPr>
          <w:sz w:val="24"/>
          <w:szCs w:val="24"/>
        </w:rPr>
        <w:br/>
      </w:r>
    </w:p>
    <w:p w14:paraId="24BD3CD0" w14:textId="792079F8" w:rsidR="009F008B" w:rsidRPr="00D17C6F" w:rsidRDefault="009F008B" w:rsidP="009F008B">
      <w:pPr>
        <w:pStyle w:val="ListParagraph"/>
        <w:numPr>
          <w:ilvl w:val="1"/>
          <w:numId w:val="3"/>
        </w:numPr>
        <w:rPr>
          <w:sz w:val="24"/>
          <w:szCs w:val="24"/>
        </w:rPr>
      </w:pPr>
      <w:r w:rsidRPr="00D17C6F">
        <w:rPr>
          <w:sz w:val="24"/>
          <w:szCs w:val="24"/>
        </w:rPr>
        <w:t>Provide a telephone number so that the victim</w:t>
      </w:r>
      <w:r w:rsidR="00D17C6F" w:rsidRPr="00D17C6F">
        <w:rPr>
          <w:sz w:val="24"/>
          <w:szCs w:val="24"/>
        </w:rPr>
        <w:t xml:space="preserve"> </w:t>
      </w:r>
      <w:r w:rsidRPr="00D17C6F">
        <w:rPr>
          <w:sz w:val="24"/>
          <w:szCs w:val="24"/>
        </w:rPr>
        <w:t>may call to report additional information about the case, additional injuries that have appeared, or to receive information about the status of the case.</w:t>
      </w:r>
      <w:r w:rsidR="00BD418E">
        <w:rPr>
          <w:sz w:val="24"/>
          <w:szCs w:val="24"/>
        </w:rPr>
        <w:br/>
      </w:r>
    </w:p>
    <w:p w14:paraId="0AD2AC51" w14:textId="6DF42553" w:rsidR="009F008B" w:rsidRPr="00D17C6F" w:rsidRDefault="009F008B" w:rsidP="009F008B">
      <w:pPr>
        <w:pStyle w:val="ListParagraph"/>
        <w:numPr>
          <w:ilvl w:val="1"/>
          <w:numId w:val="3"/>
        </w:numPr>
        <w:rPr>
          <w:sz w:val="24"/>
          <w:szCs w:val="24"/>
        </w:rPr>
      </w:pPr>
      <w:r w:rsidRPr="00D17C6F">
        <w:rPr>
          <w:sz w:val="24"/>
          <w:szCs w:val="24"/>
        </w:rPr>
        <w:t>Ensure the confidentiality of the victim and their role in case development.</w:t>
      </w:r>
      <w:r w:rsidR="00BD418E">
        <w:rPr>
          <w:sz w:val="24"/>
          <w:szCs w:val="24"/>
        </w:rPr>
        <w:br/>
      </w:r>
    </w:p>
    <w:p w14:paraId="4F294E1B" w14:textId="4A48DDE8" w:rsidR="000C608C" w:rsidRPr="00D17C6F" w:rsidRDefault="009F008B" w:rsidP="000C608C">
      <w:pPr>
        <w:pStyle w:val="ListParagraph"/>
        <w:numPr>
          <w:ilvl w:val="1"/>
          <w:numId w:val="3"/>
        </w:numPr>
        <w:rPr>
          <w:sz w:val="24"/>
          <w:szCs w:val="24"/>
        </w:rPr>
      </w:pPr>
      <w:r w:rsidRPr="00D17C6F">
        <w:rPr>
          <w:sz w:val="24"/>
          <w:szCs w:val="24"/>
        </w:rPr>
        <w:t>Provide a copy or inform the victim</w:t>
      </w:r>
      <w:r w:rsidR="00D17C6F" w:rsidRPr="00D17C6F">
        <w:rPr>
          <w:sz w:val="24"/>
          <w:szCs w:val="24"/>
        </w:rPr>
        <w:t xml:space="preserve"> </w:t>
      </w:r>
      <w:r w:rsidRPr="00D17C6F">
        <w:rPr>
          <w:sz w:val="24"/>
          <w:szCs w:val="24"/>
        </w:rPr>
        <w:t xml:space="preserve">how to obtain a copy of the Kentucky Crime Victims’ Bill of Rights </w:t>
      </w:r>
      <w:r w:rsidR="00D17C6F" w:rsidRPr="00D17C6F">
        <w:rPr>
          <w:sz w:val="24"/>
          <w:szCs w:val="24"/>
        </w:rPr>
        <w:t>h</w:t>
      </w:r>
      <w:r w:rsidRPr="00D17C6F">
        <w:rPr>
          <w:sz w:val="24"/>
          <w:szCs w:val="24"/>
        </w:rPr>
        <w:t>andbook, or an equivalent resource.</w:t>
      </w:r>
      <w:r w:rsidR="00BD418E">
        <w:rPr>
          <w:sz w:val="24"/>
          <w:szCs w:val="24"/>
        </w:rPr>
        <w:br/>
      </w:r>
    </w:p>
    <w:p w14:paraId="7EA641DD" w14:textId="6875F7C1" w:rsidR="000C608C" w:rsidRPr="00D17C6F" w:rsidRDefault="000C608C" w:rsidP="000C608C">
      <w:pPr>
        <w:pStyle w:val="ListParagraph"/>
        <w:numPr>
          <w:ilvl w:val="1"/>
          <w:numId w:val="3"/>
        </w:numPr>
        <w:rPr>
          <w:sz w:val="24"/>
          <w:szCs w:val="24"/>
        </w:rPr>
      </w:pPr>
      <w:r w:rsidRPr="00D17C6F">
        <w:rPr>
          <w:sz w:val="24"/>
          <w:szCs w:val="24"/>
        </w:rPr>
        <w:t>Agency personnel shall provide appropriate assistance to victims who have been threatened or who express specific, credible reasons for fearing intimidation or further victimization.</w:t>
      </w:r>
      <w:r w:rsidR="00D17C6F" w:rsidRPr="00D17C6F">
        <w:rPr>
          <w:sz w:val="24"/>
          <w:szCs w:val="24"/>
        </w:rPr>
        <w:t xml:space="preserve"> </w:t>
      </w:r>
      <w:r w:rsidRPr="00D17C6F">
        <w:rPr>
          <w:sz w:val="24"/>
          <w:szCs w:val="24"/>
        </w:rPr>
        <w:t>Assistance may include, but is not limited to</w:t>
      </w:r>
      <w:r w:rsidR="00D17C6F" w:rsidRPr="00D17C6F">
        <w:rPr>
          <w:sz w:val="24"/>
          <w:szCs w:val="24"/>
        </w:rPr>
        <w:t>,</w:t>
      </w:r>
      <w:r w:rsidRPr="00D17C6F">
        <w:rPr>
          <w:sz w:val="24"/>
          <w:szCs w:val="24"/>
        </w:rPr>
        <w:t xml:space="preserve"> the following:</w:t>
      </w:r>
      <w:r w:rsidR="00BD418E">
        <w:rPr>
          <w:sz w:val="24"/>
          <w:szCs w:val="24"/>
        </w:rPr>
        <w:br/>
      </w:r>
    </w:p>
    <w:p w14:paraId="4B39B63E" w14:textId="77777777" w:rsidR="000C608C" w:rsidRPr="00D17C6F" w:rsidRDefault="000C608C" w:rsidP="000C608C">
      <w:pPr>
        <w:pStyle w:val="ListParagraph"/>
        <w:numPr>
          <w:ilvl w:val="2"/>
          <w:numId w:val="3"/>
        </w:numPr>
        <w:rPr>
          <w:sz w:val="24"/>
          <w:szCs w:val="24"/>
        </w:rPr>
      </w:pPr>
      <w:r w:rsidRPr="00D17C6F">
        <w:rPr>
          <w:sz w:val="24"/>
          <w:szCs w:val="24"/>
        </w:rPr>
        <w:t>Advising the victim of available legal remedies and assist the victim in accessing those legal remedies (</w:t>
      </w:r>
      <w:proofErr w:type="gramStart"/>
      <w:r w:rsidRPr="00D17C6F">
        <w:rPr>
          <w:sz w:val="24"/>
          <w:szCs w:val="24"/>
        </w:rPr>
        <w:t>i.e.</w:t>
      </w:r>
      <w:proofErr w:type="gramEnd"/>
      <w:r w:rsidRPr="00D17C6F">
        <w:rPr>
          <w:sz w:val="24"/>
          <w:szCs w:val="24"/>
        </w:rPr>
        <w:t xml:space="preserve"> protective orders or warrants).</w:t>
      </w:r>
    </w:p>
    <w:p w14:paraId="00114537" w14:textId="77777777" w:rsidR="000C608C" w:rsidRPr="00D17C6F" w:rsidRDefault="000C608C" w:rsidP="000C608C">
      <w:pPr>
        <w:pStyle w:val="ListParagraph"/>
        <w:numPr>
          <w:ilvl w:val="2"/>
          <w:numId w:val="3"/>
        </w:numPr>
        <w:rPr>
          <w:sz w:val="24"/>
          <w:szCs w:val="24"/>
        </w:rPr>
      </w:pPr>
      <w:r w:rsidRPr="00D17C6F">
        <w:rPr>
          <w:sz w:val="24"/>
          <w:szCs w:val="24"/>
        </w:rPr>
        <w:t>Discussing alternative safety plans with the potential victim.</w:t>
      </w:r>
    </w:p>
    <w:p w14:paraId="3198F68B" w14:textId="77777777" w:rsidR="007847B5" w:rsidRPr="00D17C6F" w:rsidRDefault="000C608C" w:rsidP="00B2583C">
      <w:pPr>
        <w:pStyle w:val="ListParagraph"/>
        <w:numPr>
          <w:ilvl w:val="2"/>
          <w:numId w:val="3"/>
        </w:numPr>
        <w:rPr>
          <w:sz w:val="24"/>
          <w:szCs w:val="24"/>
        </w:rPr>
      </w:pPr>
      <w:r w:rsidRPr="00D17C6F">
        <w:rPr>
          <w:sz w:val="24"/>
          <w:szCs w:val="24"/>
        </w:rPr>
        <w:t xml:space="preserve">Contacting the Office of the Attorney General, </w:t>
      </w:r>
      <w:r w:rsidRPr="00D17C6F">
        <w:rPr>
          <w:b/>
          <w:sz w:val="24"/>
          <w:szCs w:val="24"/>
        </w:rPr>
        <w:t>KRS 15.247</w:t>
      </w:r>
      <w:r w:rsidRPr="00D17C6F">
        <w:rPr>
          <w:sz w:val="24"/>
          <w:szCs w:val="24"/>
        </w:rPr>
        <w:t xml:space="preserve">, who is responsible for developing and administering a program for the protection of crime victims, </w:t>
      </w:r>
      <w:proofErr w:type="gramStart"/>
      <w:r w:rsidRPr="00D17C6F">
        <w:rPr>
          <w:sz w:val="24"/>
          <w:szCs w:val="24"/>
        </w:rPr>
        <w:t>witnesses</w:t>
      </w:r>
      <w:proofErr w:type="gramEnd"/>
      <w:r w:rsidRPr="00D17C6F">
        <w:rPr>
          <w:sz w:val="24"/>
          <w:szCs w:val="24"/>
        </w:rPr>
        <w:t xml:space="preserve"> and their families.</w:t>
      </w:r>
    </w:p>
    <w:p w14:paraId="543708BD" w14:textId="4A27D768" w:rsidR="00D8081F" w:rsidRDefault="00D8081F" w:rsidP="0030165B">
      <w:pPr>
        <w:pStyle w:val="ListParagraph"/>
        <w:ind w:left="0" w:firstLine="0"/>
        <w:rPr>
          <w:sz w:val="24"/>
          <w:szCs w:val="24"/>
        </w:rPr>
      </w:pPr>
    </w:p>
    <w:p w14:paraId="757F9BDA" w14:textId="3B8AE9B0" w:rsidR="00AC71D4" w:rsidRDefault="00AC71D4" w:rsidP="0030165B">
      <w:pPr>
        <w:pStyle w:val="ListParagraph"/>
        <w:ind w:left="0" w:firstLine="0"/>
        <w:rPr>
          <w:sz w:val="24"/>
          <w:szCs w:val="24"/>
        </w:rPr>
      </w:pPr>
    </w:p>
    <w:p w14:paraId="5B33E991" w14:textId="71943757" w:rsidR="00AC71D4" w:rsidRDefault="00AC71D4" w:rsidP="0030165B">
      <w:pPr>
        <w:pStyle w:val="ListParagraph"/>
        <w:ind w:left="0" w:firstLine="0"/>
        <w:rPr>
          <w:sz w:val="24"/>
          <w:szCs w:val="24"/>
        </w:rPr>
      </w:pPr>
    </w:p>
    <w:p w14:paraId="5E1BF260" w14:textId="77777777" w:rsidR="00AC71D4" w:rsidRDefault="00AC71D4" w:rsidP="0030165B">
      <w:pPr>
        <w:pStyle w:val="ListParagraph"/>
        <w:ind w:left="0" w:firstLine="0"/>
        <w:rPr>
          <w:sz w:val="24"/>
          <w:szCs w:val="24"/>
        </w:rPr>
      </w:pPr>
    </w:p>
    <w:p w14:paraId="5E5724C2" w14:textId="77777777" w:rsidR="0030165B" w:rsidRPr="00D17C6F" w:rsidRDefault="0030165B" w:rsidP="0030165B">
      <w:pPr>
        <w:pStyle w:val="ListParagraph"/>
        <w:ind w:left="0" w:firstLine="0"/>
        <w:rPr>
          <w:b/>
          <w:sz w:val="24"/>
          <w:szCs w:val="24"/>
          <w:u w:val="single"/>
        </w:rPr>
      </w:pPr>
      <w:r w:rsidRPr="00D17C6F">
        <w:rPr>
          <w:b/>
          <w:sz w:val="24"/>
          <w:szCs w:val="24"/>
          <w:u w:val="single"/>
        </w:rPr>
        <w:lastRenderedPageBreak/>
        <w:t>PRELIMINARY INVESTIGATION</w:t>
      </w:r>
    </w:p>
    <w:p w14:paraId="502A081C" w14:textId="77777777" w:rsidR="0030165B" w:rsidRPr="00D17C6F" w:rsidRDefault="0030165B" w:rsidP="0030165B">
      <w:pPr>
        <w:pStyle w:val="ListParagraph"/>
        <w:ind w:left="0" w:firstLine="0"/>
        <w:rPr>
          <w:sz w:val="24"/>
          <w:szCs w:val="24"/>
        </w:rPr>
      </w:pPr>
    </w:p>
    <w:p w14:paraId="7785E7A5" w14:textId="1563AE85" w:rsidR="0030165B" w:rsidRPr="00D17C6F" w:rsidRDefault="0030165B" w:rsidP="0030165B">
      <w:pPr>
        <w:widowControl/>
        <w:numPr>
          <w:ilvl w:val="0"/>
          <w:numId w:val="20"/>
        </w:numPr>
        <w:rPr>
          <w:sz w:val="24"/>
          <w:szCs w:val="24"/>
        </w:rPr>
      </w:pPr>
      <w:r w:rsidRPr="00D17C6F">
        <w:rPr>
          <w:sz w:val="24"/>
          <w:szCs w:val="24"/>
        </w:rPr>
        <w:t>When responding to a reported sexual assault, officers shall begin a preliminary investigation to include the following:</w:t>
      </w:r>
      <w:r w:rsidR="00BD418E">
        <w:rPr>
          <w:sz w:val="24"/>
          <w:szCs w:val="24"/>
        </w:rPr>
        <w:br/>
      </w:r>
    </w:p>
    <w:p w14:paraId="67149E19" w14:textId="2C2ADF70" w:rsidR="0030165B" w:rsidRPr="00D17C6F" w:rsidRDefault="0030165B" w:rsidP="0030165B">
      <w:pPr>
        <w:widowControl/>
        <w:numPr>
          <w:ilvl w:val="0"/>
          <w:numId w:val="21"/>
        </w:numPr>
        <w:rPr>
          <w:sz w:val="24"/>
          <w:szCs w:val="24"/>
        </w:rPr>
      </w:pPr>
      <w:r w:rsidRPr="00D17C6F">
        <w:rPr>
          <w:sz w:val="24"/>
          <w:szCs w:val="24"/>
        </w:rPr>
        <w:t>Responding to immediate needs</w:t>
      </w:r>
      <w:r w:rsidR="00D17C6F" w:rsidRPr="00D17C6F">
        <w:rPr>
          <w:sz w:val="24"/>
          <w:szCs w:val="24"/>
        </w:rPr>
        <w:t xml:space="preserve"> – </w:t>
      </w:r>
      <w:r w:rsidRPr="00D17C6F">
        <w:rPr>
          <w:sz w:val="24"/>
          <w:szCs w:val="24"/>
        </w:rPr>
        <w:t>rendering aid to the injured, by noting such facts as the position of victims or injured subjects, listening for spontaneous statements, and observing any unusual actions or activities;</w:t>
      </w:r>
      <w:r w:rsidR="00BD418E">
        <w:rPr>
          <w:sz w:val="24"/>
          <w:szCs w:val="24"/>
        </w:rPr>
        <w:br/>
      </w:r>
    </w:p>
    <w:p w14:paraId="1D021A59" w14:textId="03CA8B3B" w:rsidR="0030165B" w:rsidRPr="00D17C6F" w:rsidRDefault="0030165B" w:rsidP="0030165B">
      <w:pPr>
        <w:widowControl/>
        <w:numPr>
          <w:ilvl w:val="0"/>
          <w:numId w:val="21"/>
        </w:numPr>
        <w:rPr>
          <w:sz w:val="24"/>
          <w:szCs w:val="24"/>
        </w:rPr>
      </w:pPr>
      <w:r w:rsidRPr="00D17C6F">
        <w:rPr>
          <w:sz w:val="24"/>
          <w:szCs w:val="24"/>
        </w:rPr>
        <w:t>Determining that a crime has been committed;</w:t>
      </w:r>
      <w:r w:rsidR="00BD418E">
        <w:rPr>
          <w:sz w:val="24"/>
          <w:szCs w:val="24"/>
        </w:rPr>
        <w:br/>
      </w:r>
    </w:p>
    <w:p w14:paraId="74B98612" w14:textId="0C4C0B1D" w:rsidR="0030165B" w:rsidRPr="00D17C6F" w:rsidRDefault="0030165B" w:rsidP="0030165B">
      <w:pPr>
        <w:widowControl/>
        <w:numPr>
          <w:ilvl w:val="0"/>
          <w:numId w:val="21"/>
        </w:numPr>
        <w:rPr>
          <w:sz w:val="24"/>
          <w:szCs w:val="24"/>
        </w:rPr>
      </w:pPr>
      <w:r w:rsidRPr="00D17C6F">
        <w:rPr>
          <w:sz w:val="24"/>
          <w:szCs w:val="24"/>
        </w:rPr>
        <w:t>Initiating enforcement action – arresting or pursuing the offender (if applicable) and/or communicating apprehension information;</w:t>
      </w:r>
      <w:r w:rsidR="00BD418E">
        <w:rPr>
          <w:sz w:val="24"/>
          <w:szCs w:val="24"/>
        </w:rPr>
        <w:br/>
      </w:r>
    </w:p>
    <w:p w14:paraId="0C595428" w14:textId="5C52FF3F" w:rsidR="0030165B" w:rsidRPr="00D17C6F" w:rsidRDefault="0030165B" w:rsidP="0030165B">
      <w:pPr>
        <w:widowControl/>
        <w:numPr>
          <w:ilvl w:val="0"/>
          <w:numId w:val="21"/>
        </w:numPr>
        <w:rPr>
          <w:sz w:val="24"/>
          <w:szCs w:val="24"/>
        </w:rPr>
      </w:pPr>
      <w:r w:rsidRPr="00D17C6F">
        <w:rPr>
          <w:sz w:val="24"/>
          <w:szCs w:val="24"/>
        </w:rPr>
        <w:t>Conducting a thorough search of the crime scene.</w:t>
      </w:r>
      <w:r w:rsidR="00D17C6F" w:rsidRPr="00D17C6F">
        <w:rPr>
          <w:sz w:val="24"/>
          <w:szCs w:val="24"/>
        </w:rPr>
        <w:t xml:space="preserve"> </w:t>
      </w:r>
      <w:r w:rsidRPr="00D17C6F">
        <w:rPr>
          <w:sz w:val="24"/>
          <w:szCs w:val="24"/>
        </w:rPr>
        <w:t>This may require securing and limiting access to the crime scene and protecting all evidence, especially short-lived evidence (impressions in sand or mud, etc.);</w:t>
      </w:r>
      <w:r w:rsidR="00BD418E">
        <w:rPr>
          <w:sz w:val="24"/>
          <w:szCs w:val="24"/>
        </w:rPr>
        <w:br/>
      </w:r>
    </w:p>
    <w:p w14:paraId="59FE407F" w14:textId="7716F810" w:rsidR="0030165B" w:rsidRPr="00D17C6F" w:rsidRDefault="0030165B" w:rsidP="0030165B">
      <w:pPr>
        <w:widowControl/>
        <w:numPr>
          <w:ilvl w:val="0"/>
          <w:numId w:val="21"/>
        </w:numPr>
        <w:rPr>
          <w:sz w:val="24"/>
          <w:szCs w:val="24"/>
        </w:rPr>
      </w:pPr>
      <w:r w:rsidRPr="00D17C6F">
        <w:rPr>
          <w:sz w:val="24"/>
          <w:szCs w:val="24"/>
        </w:rPr>
        <w:t>Assessing and advising supervisor(s) of the situation and determining the need for investigative personnel;</w:t>
      </w:r>
      <w:r w:rsidR="00BD418E">
        <w:rPr>
          <w:sz w:val="24"/>
          <w:szCs w:val="24"/>
        </w:rPr>
        <w:br/>
      </w:r>
    </w:p>
    <w:p w14:paraId="09FD2A4C" w14:textId="47377865" w:rsidR="0030165B" w:rsidRPr="00D17C6F" w:rsidRDefault="0030165B" w:rsidP="0030165B">
      <w:pPr>
        <w:widowControl/>
        <w:numPr>
          <w:ilvl w:val="0"/>
          <w:numId w:val="21"/>
        </w:numPr>
        <w:rPr>
          <w:sz w:val="24"/>
          <w:szCs w:val="24"/>
        </w:rPr>
      </w:pPr>
      <w:r w:rsidRPr="00D17C6F">
        <w:rPr>
          <w:sz w:val="24"/>
          <w:szCs w:val="24"/>
        </w:rPr>
        <w:t>Initiating an investigation – collecting and preserving evidence, photographing the scene and evidence, checking for fingerprints, sketching the crime scene, and describing in detail all stolen property;</w:t>
      </w:r>
      <w:r w:rsidR="00BD418E">
        <w:rPr>
          <w:sz w:val="24"/>
          <w:szCs w:val="24"/>
        </w:rPr>
        <w:br/>
      </w:r>
    </w:p>
    <w:p w14:paraId="1BB7B607" w14:textId="44714033" w:rsidR="00A10AC1" w:rsidRPr="002564E7" w:rsidRDefault="0030165B" w:rsidP="0025332F">
      <w:pPr>
        <w:widowControl/>
        <w:numPr>
          <w:ilvl w:val="0"/>
          <w:numId w:val="21"/>
        </w:numPr>
        <w:rPr>
          <w:sz w:val="24"/>
          <w:szCs w:val="24"/>
        </w:rPr>
      </w:pPr>
      <w:r w:rsidRPr="00D17C6F">
        <w:rPr>
          <w:sz w:val="24"/>
          <w:szCs w:val="24"/>
        </w:rPr>
        <w:t>Interviewing victim(s), witness(</w:t>
      </w:r>
      <w:r w:rsidR="00B51E45" w:rsidRPr="00D17C6F">
        <w:rPr>
          <w:sz w:val="24"/>
          <w:szCs w:val="24"/>
        </w:rPr>
        <w:t>e</w:t>
      </w:r>
      <w:r w:rsidRPr="00D17C6F">
        <w:rPr>
          <w:sz w:val="24"/>
          <w:szCs w:val="24"/>
        </w:rPr>
        <w:t>s), and suspect(s), and identifying and describing the suspect(s)</w:t>
      </w:r>
      <w:r w:rsidR="00BD418E">
        <w:rPr>
          <w:sz w:val="24"/>
          <w:szCs w:val="24"/>
        </w:rPr>
        <w:t>.</w:t>
      </w:r>
      <w:r w:rsidR="00BD418E" w:rsidRPr="00BD418E">
        <w:rPr>
          <w:sz w:val="24"/>
          <w:szCs w:val="24"/>
        </w:rPr>
        <w:t xml:space="preserve"> </w:t>
      </w:r>
      <w:r w:rsidR="00BD418E" w:rsidRPr="00D17C6F">
        <w:rPr>
          <w:sz w:val="24"/>
          <w:szCs w:val="24"/>
        </w:rPr>
        <w:t>The victim should be interviewed in a location that is convenient, accessible, and comfortable when possible</w:t>
      </w:r>
      <w:r w:rsidR="0040406D">
        <w:rPr>
          <w:sz w:val="24"/>
          <w:szCs w:val="24"/>
        </w:rPr>
        <w:t>;</w:t>
      </w:r>
      <w:r w:rsidR="00BD418E">
        <w:rPr>
          <w:sz w:val="24"/>
          <w:szCs w:val="24"/>
        </w:rPr>
        <w:br/>
      </w:r>
    </w:p>
    <w:p w14:paraId="71CEFBFD" w14:textId="2AA65279" w:rsidR="0030165B" w:rsidRPr="00D17C6F" w:rsidRDefault="0030165B" w:rsidP="0030165B">
      <w:pPr>
        <w:widowControl/>
        <w:numPr>
          <w:ilvl w:val="0"/>
          <w:numId w:val="21"/>
        </w:numPr>
        <w:rPr>
          <w:sz w:val="24"/>
          <w:szCs w:val="24"/>
        </w:rPr>
      </w:pPr>
      <w:r w:rsidRPr="00D17C6F">
        <w:rPr>
          <w:sz w:val="24"/>
          <w:szCs w:val="24"/>
        </w:rPr>
        <w:t xml:space="preserve">Canvassing the area; </w:t>
      </w:r>
      <w:r w:rsidR="00BD418E">
        <w:rPr>
          <w:sz w:val="24"/>
          <w:szCs w:val="24"/>
        </w:rPr>
        <w:br/>
      </w:r>
    </w:p>
    <w:p w14:paraId="5B37C54A" w14:textId="77777777" w:rsidR="0025332F" w:rsidRDefault="0030165B" w:rsidP="0030165B">
      <w:pPr>
        <w:widowControl/>
        <w:numPr>
          <w:ilvl w:val="0"/>
          <w:numId w:val="21"/>
        </w:numPr>
        <w:rPr>
          <w:sz w:val="24"/>
          <w:szCs w:val="24"/>
        </w:rPr>
      </w:pPr>
      <w:r w:rsidRPr="00D17C6F">
        <w:rPr>
          <w:sz w:val="24"/>
          <w:szCs w:val="24"/>
        </w:rPr>
        <w:t xml:space="preserve">Compiling a thorough and accurate </w:t>
      </w:r>
      <w:r w:rsidR="00D17C6F" w:rsidRPr="00D17C6F">
        <w:rPr>
          <w:sz w:val="24"/>
          <w:szCs w:val="24"/>
        </w:rPr>
        <w:t>report of on-the-</w:t>
      </w:r>
      <w:r w:rsidRPr="00D17C6F">
        <w:rPr>
          <w:sz w:val="24"/>
          <w:szCs w:val="24"/>
        </w:rPr>
        <w:t>scene activities and completing all documents.</w:t>
      </w:r>
    </w:p>
    <w:p w14:paraId="4C7EE560" w14:textId="77777777" w:rsidR="0025332F" w:rsidRDefault="0025332F" w:rsidP="0025332F">
      <w:pPr>
        <w:widowControl/>
        <w:rPr>
          <w:sz w:val="24"/>
          <w:szCs w:val="24"/>
        </w:rPr>
      </w:pPr>
    </w:p>
    <w:p w14:paraId="2CA603C2" w14:textId="059890F0" w:rsidR="0030165B" w:rsidRPr="0025332F" w:rsidRDefault="00BD418E" w:rsidP="0025332F">
      <w:pPr>
        <w:widowControl/>
        <w:rPr>
          <w:sz w:val="24"/>
          <w:szCs w:val="24"/>
          <w:u w:val="single"/>
        </w:rPr>
      </w:pPr>
      <w:r w:rsidRPr="0025332F">
        <w:rPr>
          <w:b/>
          <w:bCs/>
          <w:sz w:val="24"/>
          <w:szCs w:val="24"/>
          <w:u w:val="single"/>
        </w:rPr>
        <w:t>ASSIGNMENT OF DETECTIVE PERSONNEL</w:t>
      </w:r>
    </w:p>
    <w:p w14:paraId="77EB0436" w14:textId="77777777" w:rsidR="0030165B" w:rsidRPr="00D17C6F" w:rsidRDefault="0030165B" w:rsidP="0030165B">
      <w:pPr>
        <w:ind w:left="360"/>
        <w:rPr>
          <w:sz w:val="24"/>
          <w:szCs w:val="24"/>
        </w:rPr>
      </w:pPr>
    </w:p>
    <w:p w14:paraId="0E0D8A8D" w14:textId="77777777" w:rsidR="0030165B" w:rsidRPr="00D17C6F" w:rsidRDefault="0030165B" w:rsidP="00414E63">
      <w:pPr>
        <w:widowControl/>
        <w:numPr>
          <w:ilvl w:val="0"/>
          <w:numId w:val="25"/>
        </w:numPr>
        <w:rPr>
          <w:sz w:val="24"/>
          <w:szCs w:val="24"/>
        </w:rPr>
      </w:pPr>
      <w:r w:rsidRPr="00D17C6F">
        <w:rPr>
          <w:sz w:val="24"/>
          <w:szCs w:val="24"/>
        </w:rPr>
        <w:t>A supervisor shall determine if a detective shall be sent to the scene.</w:t>
      </w:r>
      <w:r w:rsidR="00D17C6F" w:rsidRPr="00D17C6F">
        <w:rPr>
          <w:sz w:val="24"/>
          <w:szCs w:val="24"/>
        </w:rPr>
        <w:t xml:space="preserve"> </w:t>
      </w:r>
      <w:r w:rsidRPr="00D17C6F">
        <w:rPr>
          <w:sz w:val="24"/>
          <w:szCs w:val="24"/>
        </w:rPr>
        <w:t>If that supervisor is a uniformed supervisor, that supervisor shall contact the appropriate detective supervisor who shall make the decision on the assignment of detective personnel to the investigation.</w:t>
      </w:r>
      <w:r w:rsidR="00D17C6F" w:rsidRPr="00D17C6F">
        <w:rPr>
          <w:sz w:val="24"/>
          <w:szCs w:val="24"/>
        </w:rPr>
        <w:t xml:space="preserve"> </w:t>
      </w:r>
    </w:p>
    <w:p w14:paraId="3888EB4F" w14:textId="77777777" w:rsidR="0030165B" w:rsidRPr="00D17C6F" w:rsidRDefault="0030165B" w:rsidP="0030165B">
      <w:pPr>
        <w:rPr>
          <w:sz w:val="24"/>
          <w:szCs w:val="24"/>
        </w:rPr>
      </w:pPr>
    </w:p>
    <w:p w14:paraId="77B8165B" w14:textId="77777777" w:rsidR="0030165B" w:rsidRPr="00D17C6F" w:rsidRDefault="0030165B" w:rsidP="00414E63">
      <w:pPr>
        <w:widowControl/>
        <w:numPr>
          <w:ilvl w:val="0"/>
          <w:numId w:val="25"/>
        </w:numPr>
        <w:rPr>
          <w:sz w:val="24"/>
          <w:szCs w:val="24"/>
        </w:rPr>
      </w:pPr>
      <w:r w:rsidRPr="00D17C6F">
        <w:rPr>
          <w:sz w:val="24"/>
          <w:szCs w:val="24"/>
        </w:rPr>
        <w:t xml:space="preserve">If a detective is dispatched to the scene and does not adopt the case but does </w:t>
      </w:r>
      <w:proofErr w:type="gramStart"/>
      <w:r w:rsidRPr="00D17C6F">
        <w:rPr>
          <w:sz w:val="24"/>
          <w:szCs w:val="24"/>
        </w:rPr>
        <w:t>provide assistance</w:t>
      </w:r>
      <w:proofErr w:type="gramEnd"/>
      <w:r w:rsidRPr="00D17C6F">
        <w:rPr>
          <w:sz w:val="24"/>
          <w:szCs w:val="24"/>
        </w:rPr>
        <w:t>, then that detective shall supplement the case.</w:t>
      </w:r>
      <w:r w:rsidR="00D17C6F" w:rsidRPr="00D17C6F">
        <w:rPr>
          <w:sz w:val="24"/>
          <w:szCs w:val="24"/>
        </w:rPr>
        <w:t xml:space="preserve"> </w:t>
      </w:r>
      <w:r w:rsidRPr="00D17C6F">
        <w:rPr>
          <w:sz w:val="24"/>
          <w:szCs w:val="24"/>
        </w:rPr>
        <w:t>If the detective adopts the case, the assisting officer shall supplement the case.</w:t>
      </w:r>
      <w:r w:rsidR="00D17C6F" w:rsidRPr="00D17C6F">
        <w:rPr>
          <w:sz w:val="24"/>
          <w:szCs w:val="24"/>
        </w:rPr>
        <w:t xml:space="preserve"> </w:t>
      </w:r>
    </w:p>
    <w:p w14:paraId="6C3E8709" w14:textId="77777777" w:rsidR="0030165B" w:rsidRPr="00D17C6F" w:rsidRDefault="0030165B" w:rsidP="0030165B">
      <w:pPr>
        <w:rPr>
          <w:sz w:val="24"/>
          <w:szCs w:val="24"/>
        </w:rPr>
      </w:pPr>
    </w:p>
    <w:p w14:paraId="35CF465A" w14:textId="77777777" w:rsidR="0030165B" w:rsidRPr="00D17C6F" w:rsidRDefault="0030165B" w:rsidP="0030165B">
      <w:pPr>
        <w:pStyle w:val="Heading7"/>
        <w:rPr>
          <w:rFonts w:ascii="Arial" w:hAnsi="Arial" w:cs="Arial"/>
          <w:b/>
          <w:i w:val="0"/>
          <w:caps/>
          <w:color w:val="auto"/>
          <w:sz w:val="24"/>
          <w:szCs w:val="24"/>
          <w:u w:val="single"/>
        </w:rPr>
      </w:pPr>
      <w:r w:rsidRPr="00D17C6F">
        <w:rPr>
          <w:rFonts w:ascii="Arial" w:hAnsi="Arial" w:cs="Arial"/>
          <w:b/>
          <w:i w:val="0"/>
          <w:color w:val="auto"/>
          <w:sz w:val="24"/>
          <w:szCs w:val="24"/>
          <w:u w:val="single"/>
        </w:rPr>
        <w:t>FOLLOW-UP INVESTIGATION</w:t>
      </w:r>
    </w:p>
    <w:p w14:paraId="6BCABBB1" w14:textId="77777777" w:rsidR="0030165B" w:rsidRPr="00D17C6F" w:rsidRDefault="0030165B" w:rsidP="0030165B">
      <w:pPr>
        <w:rPr>
          <w:sz w:val="24"/>
          <w:szCs w:val="24"/>
        </w:rPr>
      </w:pPr>
    </w:p>
    <w:p w14:paraId="5B8F5CB3" w14:textId="77777777" w:rsidR="0030165B" w:rsidRPr="00D17C6F" w:rsidRDefault="0030165B" w:rsidP="0030165B">
      <w:pPr>
        <w:widowControl/>
        <w:numPr>
          <w:ilvl w:val="0"/>
          <w:numId w:val="23"/>
        </w:numPr>
        <w:rPr>
          <w:sz w:val="24"/>
          <w:szCs w:val="24"/>
        </w:rPr>
      </w:pPr>
      <w:r w:rsidRPr="00D17C6F">
        <w:rPr>
          <w:sz w:val="24"/>
          <w:szCs w:val="24"/>
        </w:rPr>
        <w:lastRenderedPageBreak/>
        <w:t>The officer who adopts the case shall be responsible for the follow-up investigation and ensure all appropriate documents are included in the case report.</w:t>
      </w:r>
    </w:p>
    <w:p w14:paraId="25E43258" w14:textId="77777777" w:rsidR="0030165B" w:rsidRPr="00D17C6F" w:rsidRDefault="0030165B" w:rsidP="0030165B">
      <w:pPr>
        <w:rPr>
          <w:sz w:val="24"/>
          <w:szCs w:val="24"/>
        </w:rPr>
      </w:pPr>
    </w:p>
    <w:p w14:paraId="3E6C225A" w14:textId="77777777" w:rsidR="0030165B" w:rsidRPr="00D17C6F" w:rsidRDefault="0030165B" w:rsidP="0030165B">
      <w:pPr>
        <w:widowControl/>
        <w:numPr>
          <w:ilvl w:val="0"/>
          <w:numId w:val="23"/>
        </w:numPr>
        <w:rPr>
          <w:sz w:val="24"/>
          <w:szCs w:val="24"/>
        </w:rPr>
      </w:pPr>
      <w:r w:rsidRPr="00D17C6F">
        <w:rPr>
          <w:sz w:val="24"/>
          <w:szCs w:val="24"/>
        </w:rPr>
        <w:t>A mandatory follow-up contact with the victim is required within 30 days of opening the case.</w:t>
      </w:r>
      <w:r w:rsidR="00D17C6F" w:rsidRPr="00D17C6F">
        <w:rPr>
          <w:sz w:val="24"/>
          <w:szCs w:val="24"/>
        </w:rPr>
        <w:t xml:space="preserve"> </w:t>
      </w:r>
    </w:p>
    <w:p w14:paraId="556E9C01" w14:textId="77777777" w:rsidR="0030165B" w:rsidRPr="00D17C6F" w:rsidRDefault="0030165B" w:rsidP="0030165B">
      <w:pPr>
        <w:pStyle w:val="ListParagraph"/>
        <w:rPr>
          <w:sz w:val="24"/>
          <w:szCs w:val="24"/>
        </w:rPr>
      </w:pPr>
    </w:p>
    <w:p w14:paraId="0F63ACE1" w14:textId="77F68546" w:rsidR="0030165B" w:rsidRPr="00D17C6F" w:rsidRDefault="0030165B" w:rsidP="0030165B">
      <w:pPr>
        <w:widowControl/>
        <w:numPr>
          <w:ilvl w:val="0"/>
          <w:numId w:val="23"/>
        </w:numPr>
        <w:rPr>
          <w:sz w:val="24"/>
          <w:szCs w:val="24"/>
        </w:rPr>
      </w:pPr>
      <w:r w:rsidRPr="00D17C6F">
        <w:rPr>
          <w:sz w:val="24"/>
          <w:szCs w:val="24"/>
        </w:rPr>
        <w:t>The following activities are intended as a guide to ensure the investigation is complete and ready for prosecution:</w:t>
      </w:r>
      <w:r w:rsidR="00995CAA">
        <w:rPr>
          <w:sz w:val="24"/>
          <w:szCs w:val="24"/>
        </w:rPr>
        <w:br/>
      </w:r>
    </w:p>
    <w:p w14:paraId="7DEBF765" w14:textId="0D1CFD58" w:rsidR="0030165B" w:rsidRPr="00D17C6F" w:rsidRDefault="0030165B" w:rsidP="0030165B">
      <w:pPr>
        <w:widowControl/>
        <w:numPr>
          <w:ilvl w:val="0"/>
          <w:numId w:val="22"/>
        </w:numPr>
        <w:rPr>
          <w:sz w:val="24"/>
          <w:szCs w:val="24"/>
        </w:rPr>
      </w:pPr>
      <w:r w:rsidRPr="00D17C6F">
        <w:rPr>
          <w:sz w:val="24"/>
          <w:szCs w:val="24"/>
        </w:rPr>
        <w:t>Review and analyze all previous reports prepared in the preliminary phase, including agency records, and results from laboratory examinations;</w:t>
      </w:r>
      <w:r w:rsidR="00BD418E">
        <w:rPr>
          <w:sz w:val="24"/>
          <w:szCs w:val="24"/>
        </w:rPr>
        <w:br/>
      </w:r>
    </w:p>
    <w:p w14:paraId="607EDEB7" w14:textId="4763D946" w:rsidR="0030165B" w:rsidRPr="00D17C6F" w:rsidRDefault="0030165B" w:rsidP="0030165B">
      <w:pPr>
        <w:widowControl/>
        <w:numPr>
          <w:ilvl w:val="0"/>
          <w:numId w:val="22"/>
        </w:numPr>
        <w:rPr>
          <w:sz w:val="24"/>
          <w:szCs w:val="24"/>
        </w:rPr>
      </w:pPr>
      <w:r w:rsidRPr="00D17C6F">
        <w:rPr>
          <w:sz w:val="24"/>
          <w:szCs w:val="24"/>
        </w:rPr>
        <w:t>Conduct additional interviews;</w:t>
      </w:r>
      <w:r w:rsidR="00995CAA">
        <w:rPr>
          <w:sz w:val="24"/>
          <w:szCs w:val="24"/>
        </w:rPr>
        <w:br/>
      </w:r>
    </w:p>
    <w:p w14:paraId="7E330A96" w14:textId="162C8529" w:rsidR="004317A4" w:rsidRPr="00D17C6F" w:rsidRDefault="004317A4" w:rsidP="004B6921">
      <w:pPr>
        <w:pStyle w:val="ListParagraph"/>
        <w:widowControl/>
        <w:numPr>
          <w:ilvl w:val="7"/>
          <w:numId w:val="26"/>
        </w:numPr>
        <w:rPr>
          <w:sz w:val="24"/>
          <w:szCs w:val="24"/>
        </w:rPr>
      </w:pPr>
      <w:r w:rsidRPr="00D17C6F">
        <w:rPr>
          <w:sz w:val="24"/>
          <w:szCs w:val="24"/>
        </w:rPr>
        <w:t>When conducting follow-up interviews with the victim, contact the</w:t>
      </w:r>
      <w:r w:rsidR="00CF2800" w:rsidRPr="00D17C6F">
        <w:rPr>
          <w:sz w:val="24"/>
          <w:szCs w:val="24"/>
        </w:rPr>
        <w:t xml:space="preserve"> rape crisis center’s</w:t>
      </w:r>
      <w:r w:rsidRPr="00D17C6F">
        <w:rPr>
          <w:sz w:val="24"/>
          <w:szCs w:val="24"/>
        </w:rPr>
        <w:t xml:space="preserve"> victim advocate and allow the advocate to be present during the interview.</w:t>
      </w:r>
    </w:p>
    <w:p w14:paraId="072A2338" w14:textId="117DAA70" w:rsidR="004317A4" w:rsidRPr="00D17C6F" w:rsidRDefault="00A10AC1" w:rsidP="0040406D">
      <w:pPr>
        <w:pStyle w:val="ListParagraph"/>
        <w:widowControl/>
        <w:numPr>
          <w:ilvl w:val="7"/>
          <w:numId w:val="26"/>
        </w:numPr>
        <w:rPr>
          <w:sz w:val="24"/>
          <w:szCs w:val="24"/>
        </w:rPr>
      </w:pPr>
      <w:r w:rsidRPr="00D17C6F">
        <w:rPr>
          <w:sz w:val="24"/>
          <w:szCs w:val="24"/>
        </w:rPr>
        <w:t xml:space="preserve">When possible, conduct victim interviews in a location that is convenient, </w:t>
      </w:r>
      <w:proofErr w:type="gramStart"/>
      <w:r w:rsidRPr="00D17C6F">
        <w:rPr>
          <w:sz w:val="24"/>
          <w:szCs w:val="24"/>
        </w:rPr>
        <w:t>accessible</w:t>
      </w:r>
      <w:proofErr w:type="gramEnd"/>
      <w:r w:rsidRPr="00D17C6F">
        <w:rPr>
          <w:sz w:val="24"/>
          <w:szCs w:val="24"/>
        </w:rPr>
        <w:t xml:space="preserve"> and comfortable for the victim. </w:t>
      </w:r>
    </w:p>
    <w:p w14:paraId="7695BF3B" w14:textId="2C2FE27A" w:rsidR="00A10AC1" w:rsidRPr="00D17C6F" w:rsidRDefault="00A10AC1" w:rsidP="0040406D">
      <w:pPr>
        <w:pStyle w:val="ListParagraph"/>
        <w:widowControl/>
        <w:numPr>
          <w:ilvl w:val="7"/>
          <w:numId w:val="26"/>
        </w:numPr>
        <w:rPr>
          <w:sz w:val="24"/>
          <w:szCs w:val="24"/>
        </w:rPr>
      </w:pPr>
      <w:r w:rsidRPr="00D17C6F">
        <w:rPr>
          <w:sz w:val="24"/>
          <w:szCs w:val="24"/>
        </w:rPr>
        <w:t xml:space="preserve">Confirm </w:t>
      </w:r>
      <w:r w:rsidR="009A5E6C" w:rsidRPr="00D17C6F">
        <w:rPr>
          <w:sz w:val="24"/>
          <w:szCs w:val="24"/>
        </w:rPr>
        <w:t xml:space="preserve">or update the </w:t>
      </w:r>
      <w:r w:rsidRPr="00D17C6F">
        <w:rPr>
          <w:sz w:val="24"/>
          <w:szCs w:val="24"/>
        </w:rPr>
        <w:t>victim’s current contact information.</w:t>
      </w:r>
      <w:r w:rsidR="00BD418E">
        <w:rPr>
          <w:sz w:val="24"/>
          <w:szCs w:val="24"/>
        </w:rPr>
        <w:br/>
      </w:r>
    </w:p>
    <w:p w14:paraId="69D63ADC" w14:textId="44101D10" w:rsidR="0030165B" w:rsidRPr="00D17C6F" w:rsidRDefault="0030165B" w:rsidP="0030165B">
      <w:pPr>
        <w:widowControl/>
        <w:numPr>
          <w:ilvl w:val="0"/>
          <w:numId w:val="22"/>
        </w:numPr>
        <w:rPr>
          <w:sz w:val="24"/>
          <w:szCs w:val="24"/>
        </w:rPr>
      </w:pPr>
      <w:r w:rsidRPr="00D17C6F">
        <w:rPr>
          <w:sz w:val="24"/>
          <w:szCs w:val="24"/>
        </w:rPr>
        <w:t>Seek additional information (from officers, witnesses, victims, informants);</w:t>
      </w:r>
      <w:r w:rsidR="00BD418E">
        <w:rPr>
          <w:sz w:val="24"/>
          <w:szCs w:val="24"/>
        </w:rPr>
        <w:br/>
      </w:r>
    </w:p>
    <w:p w14:paraId="51C8EB44" w14:textId="45E2AF09" w:rsidR="004317A4" w:rsidRPr="0025332F" w:rsidRDefault="0030165B" w:rsidP="0025332F">
      <w:pPr>
        <w:widowControl/>
        <w:numPr>
          <w:ilvl w:val="0"/>
          <w:numId w:val="22"/>
        </w:numPr>
        <w:rPr>
          <w:sz w:val="24"/>
          <w:szCs w:val="24"/>
        </w:rPr>
      </w:pPr>
      <w:r w:rsidRPr="00D17C6F">
        <w:rPr>
          <w:sz w:val="24"/>
          <w:szCs w:val="24"/>
        </w:rPr>
        <w:t>Plan, organize, conduct searches, and collect physical evidence</w:t>
      </w:r>
      <w:r w:rsidR="00995CAA">
        <w:rPr>
          <w:sz w:val="24"/>
          <w:szCs w:val="24"/>
        </w:rPr>
        <w:t xml:space="preserve"> including r</w:t>
      </w:r>
      <w:r w:rsidR="00995CAA" w:rsidRPr="00D17C6F">
        <w:rPr>
          <w:sz w:val="24"/>
          <w:szCs w:val="24"/>
        </w:rPr>
        <w:t>e-photograph</w:t>
      </w:r>
      <w:r w:rsidR="00EE05C9">
        <w:rPr>
          <w:sz w:val="24"/>
          <w:szCs w:val="24"/>
        </w:rPr>
        <w:t>ing</w:t>
      </w:r>
      <w:r w:rsidR="00995CAA" w:rsidRPr="00D17C6F">
        <w:rPr>
          <w:sz w:val="24"/>
          <w:szCs w:val="24"/>
        </w:rPr>
        <w:t xml:space="preserve"> injuries to document changes since the preliminary interview</w:t>
      </w:r>
      <w:r w:rsidRPr="00D17C6F">
        <w:rPr>
          <w:sz w:val="24"/>
          <w:szCs w:val="24"/>
        </w:rPr>
        <w:t>;</w:t>
      </w:r>
      <w:r w:rsidR="00BD418E">
        <w:rPr>
          <w:sz w:val="24"/>
          <w:szCs w:val="24"/>
        </w:rPr>
        <w:br/>
      </w:r>
    </w:p>
    <w:p w14:paraId="23F67D2D" w14:textId="607BD760" w:rsidR="0030165B" w:rsidRPr="00D17C6F" w:rsidRDefault="0030165B" w:rsidP="0030165B">
      <w:pPr>
        <w:widowControl/>
        <w:numPr>
          <w:ilvl w:val="0"/>
          <w:numId w:val="22"/>
        </w:numPr>
        <w:rPr>
          <w:sz w:val="24"/>
          <w:szCs w:val="24"/>
        </w:rPr>
      </w:pPr>
      <w:r w:rsidRPr="00D17C6F">
        <w:rPr>
          <w:sz w:val="24"/>
          <w:szCs w:val="24"/>
        </w:rPr>
        <w:t>Identify and apprehend suspects;</w:t>
      </w:r>
      <w:r w:rsidR="00995CAA">
        <w:rPr>
          <w:sz w:val="24"/>
          <w:szCs w:val="24"/>
        </w:rPr>
        <w:br/>
      </w:r>
    </w:p>
    <w:p w14:paraId="422CE949" w14:textId="0A027ADC" w:rsidR="0030165B" w:rsidRPr="00D17C6F" w:rsidRDefault="0030165B" w:rsidP="0030165B">
      <w:pPr>
        <w:widowControl/>
        <w:numPr>
          <w:ilvl w:val="0"/>
          <w:numId w:val="22"/>
        </w:numPr>
        <w:rPr>
          <w:sz w:val="24"/>
          <w:szCs w:val="24"/>
        </w:rPr>
      </w:pPr>
      <w:r w:rsidRPr="00D17C6F">
        <w:rPr>
          <w:sz w:val="24"/>
          <w:szCs w:val="24"/>
        </w:rPr>
        <w:t>Determine involvement of suspects in other crimes;</w:t>
      </w:r>
      <w:r w:rsidR="00995CAA">
        <w:rPr>
          <w:sz w:val="24"/>
          <w:szCs w:val="24"/>
        </w:rPr>
        <w:br/>
      </w:r>
    </w:p>
    <w:p w14:paraId="4FFE695D" w14:textId="1C2FFC80" w:rsidR="0030165B" w:rsidRPr="00D17C6F" w:rsidRDefault="0030165B" w:rsidP="0030165B">
      <w:pPr>
        <w:widowControl/>
        <w:numPr>
          <w:ilvl w:val="0"/>
          <w:numId w:val="22"/>
        </w:numPr>
        <w:rPr>
          <w:sz w:val="24"/>
          <w:szCs w:val="24"/>
        </w:rPr>
      </w:pPr>
      <w:r w:rsidRPr="00D17C6F">
        <w:rPr>
          <w:sz w:val="24"/>
          <w:szCs w:val="24"/>
        </w:rPr>
        <w:t>Check suspect’s criminal history;</w:t>
      </w:r>
      <w:r w:rsidR="00995CAA">
        <w:rPr>
          <w:sz w:val="24"/>
          <w:szCs w:val="24"/>
        </w:rPr>
        <w:br/>
      </w:r>
    </w:p>
    <w:p w14:paraId="6E1CF870" w14:textId="77777777" w:rsidR="0030165B" w:rsidRPr="00D17C6F" w:rsidRDefault="0030165B" w:rsidP="0030165B">
      <w:pPr>
        <w:widowControl/>
        <w:numPr>
          <w:ilvl w:val="0"/>
          <w:numId w:val="22"/>
        </w:numPr>
        <w:rPr>
          <w:sz w:val="24"/>
          <w:szCs w:val="24"/>
        </w:rPr>
      </w:pPr>
      <w:r w:rsidRPr="00D17C6F">
        <w:rPr>
          <w:sz w:val="24"/>
          <w:szCs w:val="24"/>
        </w:rPr>
        <w:t>Prepare case for court prosecution.</w:t>
      </w:r>
    </w:p>
    <w:p w14:paraId="6873D0DA" w14:textId="77777777" w:rsidR="0030165B" w:rsidRPr="00D17C6F" w:rsidRDefault="0030165B" w:rsidP="0030165B">
      <w:pPr>
        <w:rPr>
          <w:sz w:val="24"/>
          <w:szCs w:val="24"/>
        </w:rPr>
      </w:pPr>
    </w:p>
    <w:p w14:paraId="3E203840" w14:textId="77777777" w:rsidR="003C101E" w:rsidRPr="00D17C6F" w:rsidRDefault="003C101E" w:rsidP="003C101E">
      <w:pPr>
        <w:pStyle w:val="ListParagraph"/>
        <w:ind w:left="0" w:firstLine="0"/>
        <w:rPr>
          <w:b/>
          <w:sz w:val="24"/>
          <w:szCs w:val="24"/>
          <w:u w:val="single"/>
        </w:rPr>
      </w:pPr>
      <w:r w:rsidRPr="00D17C6F">
        <w:rPr>
          <w:b/>
          <w:sz w:val="24"/>
          <w:szCs w:val="24"/>
          <w:u w:val="single"/>
        </w:rPr>
        <w:t>SEXUAL ASSAULT FORENSIC EVIDENCE</w:t>
      </w:r>
    </w:p>
    <w:p w14:paraId="751ACF28" w14:textId="77777777" w:rsidR="003C101E" w:rsidRPr="00D17C6F" w:rsidRDefault="003C101E" w:rsidP="003C101E">
      <w:pPr>
        <w:pStyle w:val="ListParagraph"/>
        <w:ind w:left="0" w:firstLine="0"/>
        <w:rPr>
          <w:sz w:val="24"/>
          <w:szCs w:val="24"/>
        </w:rPr>
      </w:pPr>
    </w:p>
    <w:p w14:paraId="208A1E8E" w14:textId="34540ADE" w:rsidR="00D8081F" w:rsidRPr="00D17C6F" w:rsidRDefault="006C1410" w:rsidP="003C101E">
      <w:pPr>
        <w:pStyle w:val="ListParagraph"/>
        <w:numPr>
          <w:ilvl w:val="0"/>
          <w:numId w:val="5"/>
        </w:numPr>
        <w:rPr>
          <w:sz w:val="24"/>
          <w:szCs w:val="24"/>
        </w:rPr>
      </w:pPr>
      <w:r w:rsidRPr="00D17C6F">
        <w:rPr>
          <w:sz w:val="24"/>
          <w:szCs w:val="24"/>
        </w:rPr>
        <w:t>If a sexual assault forensic examination</w:t>
      </w:r>
      <w:r w:rsidR="00733977" w:rsidRPr="00D17C6F">
        <w:rPr>
          <w:sz w:val="24"/>
          <w:szCs w:val="24"/>
        </w:rPr>
        <w:t xml:space="preserve"> of the victim</w:t>
      </w:r>
      <w:r w:rsidRPr="00D17C6F">
        <w:rPr>
          <w:sz w:val="24"/>
          <w:szCs w:val="24"/>
        </w:rPr>
        <w:t xml:space="preserve"> is warranted, t</w:t>
      </w:r>
      <w:r w:rsidR="00D8081F" w:rsidRPr="00D17C6F">
        <w:rPr>
          <w:sz w:val="24"/>
          <w:szCs w:val="24"/>
        </w:rPr>
        <w:t xml:space="preserve">he </w:t>
      </w:r>
      <w:r w:rsidR="00082AAE" w:rsidRPr="00D17C6F">
        <w:rPr>
          <w:sz w:val="24"/>
          <w:szCs w:val="24"/>
        </w:rPr>
        <w:t>investigating</w:t>
      </w:r>
      <w:r w:rsidR="00D8081F" w:rsidRPr="00D17C6F">
        <w:rPr>
          <w:sz w:val="24"/>
          <w:szCs w:val="24"/>
        </w:rPr>
        <w:t xml:space="preserve"> officer shall </w:t>
      </w:r>
      <w:r w:rsidR="00082AAE" w:rsidRPr="00D17C6F">
        <w:rPr>
          <w:sz w:val="24"/>
          <w:szCs w:val="24"/>
        </w:rPr>
        <w:t xml:space="preserve">explain </w:t>
      </w:r>
      <w:r w:rsidR="00EB3C91" w:rsidRPr="00D17C6F">
        <w:rPr>
          <w:sz w:val="24"/>
          <w:szCs w:val="24"/>
        </w:rPr>
        <w:t xml:space="preserve">the </w:t>
      </w:r>
      <w:r w:rsidR="00082AAE" w:rsidRPr="00D17C6F">
        <w:rPr>
          <w:sz w:val="24"/>
          <w:szCs w:val="24"/>
        </w:rPr>
        <w:t>examination and its importance to the investigation.</w:t>
      </w:r>
      <w:r w:rsidR="00EE05C9">
        <w:rPr>
          <w:sz w:val="24"/>
          <w:szCs w:val="24"/>
        </w:rPr>
        <w:br/>
      </w:r>
    </w:p>
    <w:p w14:paraId="6DC2EC26" w14:textId="6BC98E47" w:rsidR="00082AAE" w:rsidRPr="00D17C6F" w:rsidRDefault="00082AAE" w:rsidP="003C101E">
      <w:pPr>
        <w:pStyle w:val="ListParagraph"/>
        <w:numPr>
          <w:ilvl w:val="1"/>
          <w:numId w:val="5"/>
        </w:numPr>
        <w:rPr>
          <w:sz w:val="24"/>
          <w:szCs w:val="24"/>
        </w:rPr>
      </w:pPr>
      <w:r w:rsidRPr="00D17C6F">
        <w:rPr>
          <w:sz w:val="24"/>
          <w:szCs w:val="24"/>
        </w:rPr>
        <w:t xml:space="preserve">Inform the victim that the </w:t>
      </w:r>
      <w:r w:rsidR="00F55A8C" w:rsidRPr="00D17C6F">
        <w:rPr>
          <w:sz w:val="24"/>
          <w:szCs w:val="24"/>
        </w:rPr>
        <w:t xml:space="preserve">sexual assault </w:t>
      </w:r>
      <w:r w:rsidRPr="00D17C6F">
        <w:rPr>
          <w:sz w:val="24"/>
          <w:szCs w:val="24"/>
        </w:rPr>
        <w:t>examination and</w:t>
      </w:r>
      <w:r w:rsidR="00E137EB" w:rsidRPr="00D17C6F">
        <w:rPr>
          <w:sz w:val="24"/>
          <w:szCs w:val="24"/>
        </w:rPr>
        <w:t xml:space="preserve"> evidence collection</w:t>
      </w:r>
      <w:r w:rsidR="00F55A8C" w:rsidRPr="00D17C6F">
        <w:rPr>
          <w:sz w:val="24"/>
          <w:szCs w:val="24"/>
        </w:rPr>
        <w:t xml:space="preserve"> cannot be billed to them</w:t>
      </w:r>
      <w:r w:rsidRPr="00D17C6F">
        <w:rPr>
          <w:sz w:val="24"/>
          <w:szCs w:val="24"/>
        </w:rPr>
        <w:t xml:space="preserve">. </w:t>
      </w:r>
      <w:r w:rsidR="00EE05C9">
        <w:rPr>
          <w:sz w:val="24"/>
          <w:szCs w:val="24"/>
        </w:rPr>
        <w:br/>
      </w:r>
    </w:p>
    <w:p w14:paraId="69EA6158" w14:textId="44FD215A" w:rsidR="00082AAE" w:rsidRPr="00D17C6F" w:rsidRDefault="00082AAE" w:rsidP="003C101E">
      <w:pPr>
        <w:pStyle w:val="ListParagraph"/>
        <w:numPr>
          <w:ilvl w:val="1"/>
          <w:numId w:val="5"/>
        </w:numPr>
        <w:rPr>
          <w:sz w:val="24"/>
          <w:szCs w:val="24"/>
        </w:rPr>
      </w:pPr>
      <w:r w:rsidRPr="00D17C6F">
        <w:rPr>
          <w:sz w:val="24"/>
          <w:szCs w:val="24"/>
        </w:rPr>
        <w:t xml:space="preserve">Inquire whether the victim will consent to a </w:t>
      </w:r>
      <w:r w:rsidR="006C1410" w:rsidRPr="00D17C6F">
        <w:rPr>
          <w:sz w:val="24"/>
          <w:szCs w:val="24"/>
        </w:rPr>
        <w:t>forensic examination.</w:t>
      </w:r>
      <w:r w:rsidR="0040406D">
        <w:rPr>
          <w:sz w:val="24"/>
          <w:szCs w:val="24"/>
        </w:rPr>
        <w:br/>
      </w:r>
    </w:p>
    <w:p w14:paraId="5FA54A67" w14:textId="77777777" w:rsidR="006C1410" w:rsidRPr="00D17C6F" w:rsidRDefault="006C1410" w:rsidP="004B6921">
      <w:pPr>
        <w:pStyle w:val="ListParagraph"/>
        <w:numPr>
          <w:ilvl w:val="2"/>
          <w:numId w:val="5"/>
        </w:numPr>
        <w:rPr>
          <w:sz w:val="24"/>
          <w:szCs w:val="24"/>
        </w:rPr>
      </w:pPr>
      <w:r w:rsidRPr="00D17C6F">
        <w:rPr>
          <w:sz w:val="24"/>
          <w:szCs w:val="24"/>
        </w:rPr>
        <w:t xml:space="preserve">Inform the victim of </w:t>
      </w:r>
      <w:r w:rsidR="00F55A8C" w:rsidRPr="00D17C6F">
        <w:rPr>
          <w:sz w:val="24"/>
          <w:szCs w:val="24"/>
        </w:rPr>
        <w:t xml:space="preserve">their </w:t>
      </w:r>
      <w:r w:rsidRPr="00D17C6F">
        <w:rPr>
          <w:sz w:val="24"/>
          <w:szCs w:val="24"/>
        </w:rPr>
        <w:t>right to refuse any or all parts of the examination and explain how refusal to consent to the examination will affect the investigation.</w:t>
      </w:r>
    </w:p>
    <w:p w14:paraId="63243EA9" w14:textId="77777777" w:rsidR="006C1410" w:rsidRPr="00D17C6F" w:rsidRDefault="006C1410" w:rsidP="003C101E">
      <w:pPr>
        <w:pStyle w:val="ListParagraph"/>
        <w:numPr>
          <w:ilvl w:val="2"/>
          <w:numId w:val="5"/>
        </w:numPr>
        <w:rPr>
          <w:sz w:val="24"/>
          <w:szCs w:val="24"/>
        </w:rPr>
      </w:pPr>
      <w:r w:rsidRPr="00D17C6F">
        <w:rPr>
          <w:sz w:val="24"/>
          <w:szCs w:val="24"/>
        </w:rPr>
        <w:t xml:space="preserve">Encourage a victim who refuses a forensic examination to seek medical attention including testing </w:t>
      </w:r>
      <w:r w:rsidR="00773239" w:rsidRPr="00D17C6F">
        <w:rPr>
          <w:sz w:val="24"/>
          <w:szCs w:val="24"/>
        </w:rPr>
        <w:t>for</w:t>
      </w:r>
      <w:r w:rsidRPr="00D17C6F">
        <w:rPr>
          <w:sz w:val="24"/>
          <w:szCs w:val="24"/>
        </w:rPr>
        <w:t xml:space="preserve"> pregnancy and sexually transmitted disease.</w:t>
      </w:r>
    </w:p>
    <w:p w14:paraId="0084D328" w14:textId="609417DD" w:rsidR="00FE2EFD" w:rsidRPr="00D17C6F" w:rsidRDefault="00FE2EFD" w:rsidP="003C101E">
      <w:pPr>
        <w:pStyle w:val="ListParagraph"/>
        <w:numPr>
          <w:ilvl w:val="2"/>
          <w:numId w:val="5"/>
        </w:numPr>
        <w:rPr>
          <w:sz w:val="24"/>
          <w:szCs w:val="24"/>
        </w:rPr>
      </w:pPr>
      <w:r w:rsidRPr="00D17C6F">
        <w:rPr>
          <w:sz w:val="24"/>
          <w:szCs w:val="24"/>
        </w:rPr>
        <w:lastRenderedPageBreak/>
        <w:t xml:space="preserve">When the victim initially chooses not to submit to a forensic examination but subsequently does seek the examination, the investigating agency shall retrieve </w:t>
      </w:r>
      <w:r w:rsidR="002D3081" w:rsidRPr="00D17C6F">
        <w:rPr>
          <w:sz w:val="24"/>
          <w:szCs w:val="24"/>
        </w:rPr>
        <w:t>any collected</w:t>
      </w:r>
      <w:r w:rsidR="00D17C6F" w:rsidRPr="00D17C6F">
        <w:rPr>
          <w:sz w:val="24"/>
          <w:szCs w:val="24"/>
        </w:rPr>
        <w:t xml:space="preserve"> </w:t>
      </w:r>
      <w:r w:rsidR="002D3081" w:rsidRPr="00D17C6F">
        <w:rPr>
          <w:sz w:val="24"/>
          <w:szCs w:val="24"/>
        </w:rPr>
        <w:t>evidence</w:t>
      </w:r>
      <w:r w:rsidRPr="00D17C6F">
        <w:rPr>
          <w:sz w:val="24"/>
          <w:szCs w:val="24"/>
        </w:rPr>
        <w:t xml:space="preserve"> within five (5) days of notification by the collecting facility.</w:t>
      </w:r>
      <w:r w:rsidR="00D17C6F" w:rsidRPr="00D17C6F">
        <w:rPr>
          <w:sz w:val="24"/>
          <w:szCs w:val="24"/>
        </w:rPr>
        <w:t xml:space="preserve"> </w:t>
      </w:r>
      <w:r w:rsidR="002D3081" w:rsidRPr="00D17C6F">
        <w:rPr>
          <w:b/>
          <w:sz w:val="24"/>
          <w:szCs w:val="24"/>
        </w:rPr>
        <w:t>KRS 15.440</w:t>
      </w:r>
      <w:r w:rsidR="00995CAA">
        <w:rPr>
          <w:b/>
          <w:sz w:val="24"/>
          <w:szCs w:val="24"/>
        </w:rPr>
        <w:br/>
      </w:r>
    </w:p>
    <w:p w14:paraId="02A55F61" w14:textId="2C6455E6" w:rsidR="006C1410" w:rsidRPr="00D17C6F" w:rsidRDefault="006C1410" w:rsidP="003C101E">
      <w:pPr>
        <w:pStyle w:val="ListParagraph"/>
        <w:numPr>
          <w:ilvl w:val="1"/>
          <w:numId w:val="5"/>
        </w:numPr>
        <w:rPr>
          <w:sz w:val="24"/>
          <w:szCs w:val="24"/>
        </w:rPr>
      </w:pPr>
      <w:r w:rsidRPr="00D17C6F">
        <w:rPr>
          <w:sz w:val="24"/>
          <w:szCs w:val="24"/>
        </w:rPr>
        <w:t>Inform a victim advocate that</w:t>
      </w:r>
      <w:r w:rsidR="00773239" w:rsidRPr="00D17C6F">
        <w:rPr>
          <w:sz w:val="24"/>
          <w:szCs w:val="24"/>
        </w:rPr>
        <w:t xml:space="preserve"> a</w:t>
      </w:r>
      <w:r w:rsidRPr="00D17C6F">
        <w:rPr>
          <w:sz w:val="24"/>
          <w:szCs w:val="24"/>
        </w:rPr>
        <w:t xml:space="preserve"> sexual assault forensic examination is to be conducted.</w:t>
      </w:r>
      <w:r w:rsidR="00995CAA">
        <w:rPr>
          <w:sz w:val="24"/>
          <w:szCs w:val="24"/>
        </w:rPr>
        <w:br/>
      </w:r>
    </w:p>
    <w:p w14:paraId="1D48C869" w14:textId="20401F84" w:rsidR="007653CD" w:rsidRPr="00D17C6F" w:rsidRDefault="007653CD" w:rsidP="003C101E">
      <w:pPr>
        <w:pStyle w:val="ListParagraph"/>
        <w:numPr>
          <w:ilvl w:val="1"/>
          <w:numId w:val="5"/>
        </w:numPr>
        <w:rPr>
          <w:sz w:val="24"/>
          <w:szCs w:val="24"/>
        </w:rPr>
      </w:pPr>
      <w:r w:rsidRPr="00D17C6F">
        <w:rPr>
          <w:sz w:val="24"/>
          <w:szCs w:val="24"/>
        </w:rPr>
        <w:t>A victim advocate or support person of the victim’s choice may be allowed to be present during the examination</w:t>
      </w:r>
      <w:r w:rsidR="00F55A8C" w:rsidRPr="00D17C6F">
        <w:rPr>
          <w:sz w:val="24"/>
          <w:szCs w:val="24"/>
        </w:rPr>
        <w:t>.</w:t>
      </w:r>
      <w:r w:rsidR="00995CAA">
        <w:rPr>
          <w:sz w:val="24"/>
          <w:szCs w:val="24"/>
        </w:rPr>
        <w:br/>
      </w:r>
    </w:p>
    <w:p w14:paraId="0C3D1DA7" w14:textId="1B85294F" w:rsidR="006C1410" w:rsidRPr="00D17C6F" w:rsidRDefault="006C1410" w:rsidP="003C101E">
      <w:pPr>
        <w:pStyle w:val="ListParagraph"/>
        <w:numPr>
          <w:ilvl w:val="1"/>
          <w:numId w:val="5"/>
        </w:numPr>
        <w:rPr>
          <w:sz w:val="24"/>
          <w:szCs w:val="24"/>
        </w:rPr>
      </w:pPr>
      <w:r w:rsidRPr="00D17C6F">
        <w:rPr>
          <w:sz w:val="24"/>
          <w:szCs w:val="24"/>
        </w:rPr>
        <w:t xml:space="preserve">Transport the victim to </w:t>
      </w:r>
      <w:r w:rsidR="00F70212" w:rsidRPr="00D17C6F">
        <w:rPr>
          <w:sz w:val="24"/>
          <w:szCs w:val="24"/>
        </w:rPr>
        <w:t>a SANE</w:t>
      </w:r>
      <w:r w:rsidR="00AC71D4">
        <w:rPr>
          <w:sz w:val="24"/>
          <w:szCs w:val="24"/>
        </w:rPr>
        <w:t xml:space="preserve"> </w:t>
      </w:r>
      <w:r w:rsidR="00F70212" w:rsidRPr="00D17C6F">
        <w:rPr>
          <w:sz w:val="24"/>
          <w:szCs w:val="24"/>
        </w:rPr>
        <w:t>ready hospital</w:t>
      </w:r>
      <w:r w:rsidRPr="00D17C6F">
        <w:rPr>
          <w:sz w:val="24"/>
          <w:szCs w:val="24"/>
        </w:rPr>
        <w:t>.</w:t>
      </w:r>
      <w:r w:rsidR="00F70212" w:rsidRPr="00D17C6F">
        <w:rPr>
          <w:sz w:val="24"/>
          <w:szCs w:val="24"/>
        </w:rPr>
        <w:t xml:space="preserve"> If a SANE</w:t>
      </w:r>
      <w:r w:rsidR="00AC71D4">
        <w:rPr>
          <w:sz w:val="24"/>
          <w:szCs w:val="24"/>
        </w:rPr>
        <w:t xml:space="preserve"> </w:t>
      </w:r>
      <w:r w:rsidR="00F70212" w:rsidRPr="00D17C6F">
        <w:rPr>
          <w:sz w:val="24"/>
          <w:szCs w:val="24"/>
        </w:rPr>
        <w:t xml:space="preserve">ready hospital is not available, transport the victim to </w:t>
      </w:r>
      <w:r w:rsidR="00F55A8C" w:rsidRPr="00D17C6F">
        <w:rPr>
          <w:sz w:val="24"/>
          <w:szCs w:val="24"/>
        </w:rPr>
        <w:t xml:space="preserve">the closest </w:t>
      </w:r>
      <w:r w:rsidR="003177FB" w:rsidRPr="00D17C6F">
        <w:rPr>
          <w:sz w:val="24"/>
          <w:szCs w:val="24"/>
        </w:rPr>
        <w:t>sexual assault examination facility</w:t>
      </w:r>
      <w:r w:rsidR="00D17C6F" w:rsidRPr="00D17C6F">
        <w:rPr>
          <w:sz w:val="24"/>
          <w:szCs w:val="24"/>
        </w:rPr>
        <w:t xml:space="preserve"> or </w:t>
      </w:r>
      <w:r w:rsidR="009244A0">
        <w:rPr>
          <w:sz w:val="24"/>
          <w:szCs w:val="24"/>
        </w:rPr>
        <w:t>H</w:t>
      </w:r>
      <w:r w:rsidR="00F55A8C" w:rsidRPr="00D17C6F">
        <w:rPr>
          <w:sz w:val="24"/>
          <w:szCs w:val="24"/>
        </w:rPr>
        <w:t xml:space="preserve">ospital </w:t>
      </w:r>
      <w:r w:rsidR="009244A0">
        <w:rPr>
          <w:sz w:val="24"/>
          <w:szCs w:val="24"/>
        </w:rPr>
        <w:t>E</w:t>
      </w:r>
      <w:r w:rsidR="00F55A8C" w:rsidRPr="00D17C6F">
        <w:rPr>
          <w:sz w:val="24"/>
          <w:szCs w:val="24"/>
        </w:rPr>
        <w:t>mergency Department.</w:t>
      </w:r>
      <w:r w:rsidR="00995CAA">
        <w:rPr>
          <w:sz w:val="24"/>
          <w:szCs w:val="24"/>
        </w:rPr>
        <w:br/>
      </w:r>
    </w:p>
    <w:p w14:paraId="1FA74F06" w14:textId="127B72BB" w:rsidR="00B51E45" w:rsidRPr="00D17C6F" w:rsidRDefault="00ED7395" w:rsidP="003C101E">
      <w:pPr>
        <w:pStyle w:val="ListParagraph"/>
        <w:numPr>
          <w:ilvl w:val="1"/>
          <w:numId w:val="5"/>
        </w:numPr>
        <w:rPr>
          <w:sz w:val="24"/>
          <w:szCs w:val="24"/>
          <w:u w:val="single"/>
        </w:rPr>
      </w:pPr>
      <w:r w:rsidRPr="00D17C6F">
        <w:rPr>
          <w:sz w:val="24"/>
          <w:szCs w:val="24"/>
        </w:rPr>
        <w:t xml:space="preserve">Coordinate with the </w:t>
      </w:r>
      <w:r w:rsidR="009A0766" w:rsidRPr="00D17C6F">
        <w:rPr>
          <w:sz w:val="24"/>
          <w:szCs w:val="24"/>
        </w:rPr>
        <w:t xml:space="preserve">medical </w:t>
      </w:r>
      <w:r w:rsidR="00D342DA" w:rsidRPr="00D17C6F">
        <w:rPr>
          <w:sz w:val="24"/>
          <w:szCs w:val="24"/>
        </w:rPr>
        <w:t>examiner</w:t>
      </w:r>
      <w:r w:rsidR="009A0766" w:rsidRPr="00D17C6F">
        <w:rPr>
          <w:sz w:val="24"/>
          <w:szCs w:val="24"/>
        </w:rPr>
        <w:t xml:space="preserve"> to photograph injuries to genitalia or sensitive body parts</w:t>
      </w:r>
      <w:r w:rsidRPr="00D17C6F">
        <w:rPr>
          <w:sz w:val="24"/>
          <w:szCs w:val="24"/>
        </w:rPr>
        <w:t xml:space="preserve"> with the consent of the victim</w:t>
      </w:r>
      <w:r w:rsidR="009A0766" w:rsidRPr="00D17C6F">
        <w:rPr>
          <w:sz w:val="24"/>
          <w:szCs w:val="24"/>
        </w:rPr>
        <w:t>, if needed.</w:t>
      </w:r>
      <w:r w:rsidR="00B51E45" w:rsidRPr="00D17C6F" w:rsidDel="00B51E45">
        <w:rPr>
          <w:sz w:val="24"/>
          <w:szCs w:val="24"/>
          <w:u w:val="single"/>
        </w:rPr>
        <w:t xml:space="preserve"> </w:t>
      </w:r>
      <w:r w:rsidR="00995CAA">
        <w:rPr>
          <w:sz w:val="24"/>
          <w:szCs w:val="24"/>
          <w:u w:val="single"/>
        </w:rPr>
        <w:br/>
      </w:r>
    </w:p>
    <w:p w14:paraId="708F4F9D" w14:textId="24ED2C7A" w:rsidR="002221C7" w:rsidRPr="00D17C6F" w:rsidRDefault="002221C7" w:rsidP="003C101E">
      <w:pPr>
        <w:pStyle w:val="ListParagraph"/>
        <w:numPr>
          <w:ilvl w:val="1"/>
          <w:numId w:val="5"/>
        </w:numPr>
        <w:rPr>
          <w:sz w:val="24"/>
          <w:szCs w:val="24"/>
        </w:rPr>
      </w:pPr>
      <w:r w:rsidRPr="00D17C6F">
        <w:rPr>
          <w:sz w:val="24"/>
          <w:szCs w:val="24"/>
        </w:rPr>
        <w:t xml:space="preserve">The investigating officer shall interview the </w:t>
      </w:r>
      <w:r w:rsidR="000344BB" w:rsidRPr="00D17C6F">
        <w:rPr>
          <w:sz w:val="24"/>
          <w:szCs w:val="24"/>
        </w:rPr>
        <w:t>medical examiner</w:t>
      </w:r>
      <w:r w:rsidR="00D17C6F" w:rsidRPr="00D17C6F">
        <w:rPr>
          <w:sz w:val="24"/>
          <w:szCs w:val="24"/>
        </w:rPr>
        <w:t xml:space="preserve"> </w:t>
      </w:r>
      <w:r w:rsidR="00D342DA" w:rsidRPr="00D17C6F">
        <w:rPr>
          <w:sz w:val="24"/>
          <w:szCs w:val="24"/>
        </w:rPr>
        <w:t xml:space="preserve">and </w:t>
      </w:r>
      <w:r w:rsidRPr="00D17C6F">
        <w:rPr>
          <w:sz w:val="24"/>
          <w:szCs w:val="24"/>
        </w:rPr>
        <w:t xml:space="preserve">document the interview </w:t>
      </w:r>
      <w:r w:rsidR="00835EB6" w:rsidRPr="00D17C6F">
        <w:rPr>
          <w:sz w:val="24"/>
          <w:szCs w:val="24"/>
        </w:rPr>
        <w:t>in a case supplement report</w:t>
      </w:r>
      <w:r w:rsidRPr="00D17C6F">
        <w:rPr>
          <w:sz w:val="24"/>
          <w:szCs w:val="24"/>
        </w:rPr>
        <w:t>.</w:t>
      </w:r>
      <w:r w:rsidR="00995CAA">
        <w:rPr>
          <w:sz w:val="24"/>
          <w:szCs w:val="24"/>
        </w:rPr>
        <w:br/>
      </w:r>
    </w:p>
    <w:p w14:paraId="018ADA5F" w14:textId="35CB7FD7" w:rsidR="00995CAA" w:rsidRDefault="002221C7" w:rsidP="003C101E">
      <w:pPr>
        <w:pStyle w:val="ListParagraph"/>
        <w:numPr>
          <w:ilvl w:val="1"/>
          <w:numId w:val="5"/>
        </w:numPr>
        <w:rPr>
          <w:sz w:val="24"/>
          <w:szCs w:val="24"/>
        </w:rPr>
      </w:pPr>
      <w:r w:rsidRPr="00D17C6F">
        <w:rPr>
          <w:sz w:val="24"/>
          <w:szCs w:val="24"/>
        </w:rPr>
        <w:t>The investigating officer shall receive the completed SAFE kit</w:t>
      </w:r>
      <w:r w:rsidR="009A0766" w:rsidRPr="00D17C6F">
        <w:rPr>
          <w:sz w:val="24"/>
          <w:szCs w:val="24"/>
        </w:rPr>
        <w:t xml:space="preserve">, </w:t>
      </w:r>
      <w:r w:rsidRPr="00D17C6F">
        <w:rPr>
          <w:sz w:val="24"/>
          <w:szCs w:val="24"/>
        </w:rPr>
        <w:t>and any other physical evidence collected during the examination</w:t>
      </w:r>
      <w:r w:rsidR="00995CAA">
        <w:rPr>
          <w:sz w:val="24"/>
          <w:szCs w:val="24"/>
        </w:rPr>
        <w:t xml:space="preserve"> and shall</w:t>
      </w:r>
      <w:r w:rsidR="00414E63">
        <w:rPr>
          <w:sz w:val="24"/>
          <w:szCs w:val="24"/>
        </w:rPr>
        <w:t xml:space="preserve"> </w:t>
      </w:r>
      <w:r w:rsidR="00995CAA">
        <w:rPr>
          <w:sz w:val="24"/>
          <w:szCs w:val="24"/>
        </w:rPr>
        <w:t>c</w:t>
      </w:r>
      <w:r w:rsidR="00E10934" w:rsidRPr="00D17C6F">
        <w:rPr>
          <w:sz w:val="24"/>
          <w:szCs w:val="24"/>
        </w:rPr>
        <w:t>oordinate with the medical examiner if photographic evidence is required.</w:t>
      </w:r>
      <w:r w:rsidR="00995CAA">
        <w:rPr>
          <w:sz w:val="24"/>
          <w:szCs w:val="24"/>
        </w:rPr>
        <w:br/>
      </w:r>
    </w:p>
    <w:p w14:paraId="44EE2598" w14:textId="3529C53B" w:rsidR="002221C7" w:rsidRDefault="00E10934" w:rsidP="003C101E">
      <w:pPr>
        <w:pStyle w:val="ListParagraph"/>
        <w:numPr>
          <w:ilvl w:val="1"/>
          <w:numId w:val="5"/>
        </w:numPr>
        <w:rPr>
          <w:sz w:val="24"/>
          <w:szCs w:val="24"/>
        </w:rPr>
      </w:pPr>
      <w:r w:rsidRPr="00D17C6F">
        <w:rPr>
          <w:sz w:val="24"/>
          <w:szCs w:val="24"/>
        </w:rPr>
        <w:t xml:space="preserve"> </w:t>
      </w:r>
      <w:r w:rsidR="002221C7" w:rsidRPr="00D17C6F">
        <w:rPr>
          <w:sz w:val="24"/>
          <w:szCs w:val="24"/>
        </w:rPr>
        <w:t>All evidence shall be identified</w:t>
      </w:r>
      <w:r w:rsidR="00733977" w:rsidRPr="00D17C6F">
        <w:rPr>
          <w:sz w:val="24"/>
          <w:szCs w:val="24"/>
        </w:rPr>
        <w:t>, submitted for testing,</w:t>
      </w:r>
      <w:r w:rsidR="002221C7" w:rsidRPr="00D17C6F">
        <w:rPr>
          <w:sz w:val="24"/>
          <w:szCs w:val="24"/>
        </w:rPr>
        <w:t xml:space="preserve"> stored</w:t>
      </w:r>
      <w:r w:rsidR="00733977" w:rsidRPr="00D17C6F">
        <w:rPr>
          <w:sz w:val="24"/>
          <w:szCs w:val="24"/>
        </w:rPr>
        <w:t>, and retained</w:t>
      </w:r>
      <w:r w:rsidR="00D17C6F" w:rsidRPr="00D17C6F">
        <w:rPr>
          <w:sz w:val="24"/>
          <w:szCs w:val="24"/>
        </w:rPr>
        <w:t xml:space="preserve"> </w:t>
      </w:r>
      <w:r w:rsidR="00FE2EFD" w:rsidRPr="00D17C6F">
        <w:rPr>
          <w:sz w:val="24"/>
          <w:szCs w:val="24"/>
        </w:rPr>
        <w:t xml:space="preserve">according to the Kentucky State Police Forensic Laboratory </w:t>
      </w:r>
      <w:r w:rsidR="00FE2EFD" w:rsidRPr="00D17C6F">
        <w:rPr>
          <w:i/>
          <w:sz w:val="24"/>
          <w:szCs w:val="24"/>
        </w:rPr>
        <w:t>Physical Evidence Collection Guide</w:t>
      </w:r>
      <w:r w:rsidR="00FE2EFD" w:rsidRPr="00D17C6F">
        <w:rPr>
          <w:sz w:val="24"/>
          <w:szCs w:val="24"/>
        </w:rPr>
        <w:t xml:space="preserve"> and</w:t>
      </w:r>
      <w:r w:rsidR="00D17C6F" w:rsidRPr="00D17C6F">
        <w:rPr>
          <w:sz w:val="24"/>
          <w:szCs w:val="24"/>
        </w:rPr>
        <w:t xml:space="preserve"> </w:t>
      </w:r>
      <w:r w:rsidR="00835EB6" w:rsidRPr="00D17C6F">
        <w:rPr>
          <w:sz w:val="24"/>
          <w:szCs w:val="24"/>
        </w:rPr>
        <w:t>agency evidence collection and storage policies</w:t>
      </w:r>
      <w:r w:rsidR="002221C7" w:rsidRPr="00D17C6F">
        <w:rPr>
          <w:sz w:val="24"/>
          <w:szCs w:val="24"/>
        </w:rPr>
        <w:t>.</w:t>
      </w:r>
    </w:p>
    <w:p w14:paraId="1E803576" w14:textId="77777777" w:rsidR="00030F8F" w:rsidRPr="00030F8F" w:rsidRDefault="00030F8F" w:rsidP="00030F8F">
      <w:pPr>
        <w:ind w:left="360"/>
        <w:rPr>
          <w:sz w:val="24"/>
          <w:szCs w:val="24"/>
        </w:rPr>
      </w:pPr>
    </w:p>
    <w:p w14:paraId="7C294152" w14:textId="3F9E40D3" w:rsidR="00030F8F" w:rsidRPr="00030F8F" w:rsidRDefault="00030F8F" w:rsidP="00030F8F">
      <w:pPr>
        <w:pStyle w:val="ListParagraph"/>
        <w:numPr>
          <w:ilvl w:val="1"/>
          <w:numId w:val="5"/>
        </w:numPr>
        <w:rPr>
          <w:sz w:val="24"/>
          <w:szCs w:val="24"/>
        </w:rPr>
      </w:pPr>
      <w:r w:rsidRPr="00030F8F">
        <w:rPr>
          <w:sz w:val="24"/>
          <w:szCs w:val="24"/>
        </w:rPr>
        <w:t xml:space="preserve">Victim’s DNA samples collected </w:t>
      </w:r>
      <w:proofErr w:type="gramStart"/>
      <w:r w:rsidRPr="00030F8F">
        <w:rPr>
          <w:sz w:val="24"/>
          <w:szCs w:val="24"/>
        </w:rPr>
        <w:t>as a result of</w:t>
      </w:r>
      <w:proofErr w:type="gramEnd"/>
      <w:r w:rsidRPr="00030F8F">
        <w:rPr>
          <w:sz w:val="24"/>
          <w:szCs w:val="24"/>
        </w:rPr>
        <w:t xml:space="preserve"> an examination performed under KRS 216B.400 that are voluntarily submitted solely for elimination purposes shall not be checked against any DNA index, retained, or included in any DNA index.  KRS 15.440(1)(</w:t>
      </w:r>
      <w:proofErr w:type="spellStart"/>
      <w:r w:rsidRPr="00030F8F">
        <w:rPr>
          <w:sz w:val="24"/>
          <w:szCs w:val="24"/>
        </w:rPr>
        <w:t>i</w:t>
      </w:r>
      <w:proofErr w:type="spellEnd"/>
      <w:r w:rsidRPr="00030F8F">
        <w:rPr>
          <w:sz w:val="24"/>
          <w:szCs w:val="24"/>
        </w:rPr>
        <w:t>)(6)</w:t>
      </w:r>
    </w:p>
    <w:p w14:paraId="7F251B7F" w14:textId="77777777" w:rsidR="003C101E" w:rsidRPr="00D17C6F" w:rsidRDefault="003C101E" w:rsidP="003C101E">
      <w:pPr>
        <w:pStyle w:val="ListParagraph"/>
        <w:ind w:left="720" w:firstLine="0"/>
        <w:rPr>
          <w:sz w:val="24"/>
          <w:szCs w:val="24"/>
        </w:rPr>
      </w:pPr>
    </w:p>
    <w:p w14:paraId="4D9CCAD3" w14:textId="1462570D" w:rsidR="002221C7" w:rsidRPr="00D17C6F" w:rsidRDefault="00457281" w:rsidP="003C101E">
      <w:pPr>
        <w:pStyle w:val="ListParagraph"/>
        <w:numPr>
          <w:ilvl w:val="0"/>
          <w:numId w:val="5"/>
        </w:numPr>
        <w:rPr>
          <w:sz w:val="24"/>
          <w:szCs w:val="24"/>
        </w:rPr>
      </w:pPr>
      <w:r w:rsidRPr="00D17C6F">
        <w:rPr>
          <w:sz w:val="24"/>
          <w:szCs w:val="24"/>
        </w:rPr>
        <w:t xml:space="preserve">When the investigation identifies a suspect, </w:t>
      </w:r>
      <w:r w:rsidR="009E3C85" w:rsidRPr="00D17C6F">
        <w:rPr>
          <w:sz w:val="24"/>
          <w:szCs w:val="24"/>
        </w:rPr>
        <w:t xml:space="preserve">the investigating officer shall attempt to collect a </w:t>
      </w:r>
      <w:r w:rsidRPr="00D17C6F">
        <w:rPr>
          <w:sz w:val="24"/>
          <w:szCs w:val="24"/>
        </w:rPr>
        <w:t xml:space="preserve">suspect DNA </w:t>
      </w:r>
      <w:r w:rsidR="009E3C85" w:rsidRPr="00D17C6F">
        <w:rPr>
          <w:sz w:val="24"/>
          <w:szCs w:val="24"/>
        </w:rPr>
        <w:t>reference</w:t>
      </w:r>
      <w:r w:rsidRPr="00D17C6F">
        <w:rPr>
          <w:sz w:val="24"/>
          <w:szCs w:val="24"/>
        </w:rPr>
        <w:t xml:space="preserve"> standard</w:t>
      </w:r>
      <w:r w:rsidR="009E3C85" w:rsidRPr="00D17C6F">
        <w:rPr>
          <w:sz w:val="24"/>
          <w:szCs w:val="24"/>
        </w:rPr>
        <w:t>.</w:t>
      </w:r>
      <w:r w:rsidR="00D17C6F" w:rsidRPr="00D17C6F">
        <w:rPr>
          <w:sz w:val="24"/>
          <w:szCs w:val="24"/>
        </w:rPr>
        <w:t xml:space="preserve"> </w:t>
      </w:r>
      <w:r w:rsidR="00564C44" w:rsidRPr="00D17C6F">
        <w:rPr>
          <w:sz w:val="24"/>
          <w:szCs w:val="24"/>
        </w:rPr>
        <w:t>A sexual assault forensic examination may be included.</w:t>
      </w:r>
      <w:r w:rsidR="00995CAA">
        <w:rPr>
          <w:sz w:val="24"/>
          <w:szCs w:val="24"/>
        </w:rPr>
        <w:br/>
      </w:r>
    </w:p>
    <w:p w14:paraId="131DEBE1" w14:textId="1BB259DA" w:rsidR="009E3C85" w:rsidRPr="00D17C6F" w:rsidRDefault="00457281" w:rsidP="003C101E">
      <w:pPr>
        <w:pStyle w:val="ListParagraph"/>
        <w:numPr>
          <w:ilvl w:val="1"/>
          <w:numId w:val="5"/>
        </w:numPr>
        <w:rPr>
          <w:sz w:val="24"/>
          <w:szCs w:val="24"/>
        </w:rPr>
      </w:pPr>
      <w:r w:rsidRPr="00D17C6F">
        <w:rPr>
          <w:sz w:val="24"/>
          <w:szCs w:val="24"/>
        </w:rPr>
        <w:t>If the suspect consents to submission of DNA evidence,</w:t>
      </w:r>
      <w:r w:rsidR="00D17C6F" w:rsidRPr="00D17C6F">
        <w:rPr>
          <w:sz w:val="24"/>
          <w:szCs w:val="24"/>
        </w:rPr>
        <w:t xml:space="preserve"> </w:t>
      </w:r>
      <w:r w:rsidR="00564C44" w:rsidRPr="00D17C6F">
        <w:rPr>
          <w:sz w:val="24"/>
          <w:szCs w:val="24"/>
        </w:rPr>
        <w:t>t</w:t>
      </w:r>
      <w:r w:rsidR="009E3C85" w:rsidRPr="00D17C6F">
        <w:rPr>
          <w:sz w:val="24"/>
          <w:szCs w:val="24"/>
        </w:rPr>
        <w:t>he suspect’s consent shall be documented in the case report.</w:t>
      </w:r>
      <w:r w:rsidR="00995CAA">
        <w:rPr>
          <w:sz w:val="24"/>
          <w:szCs w:val="24"/>
        </w:rPr>
        <w:br/>
      </w:r>
    </w:p>
    <w:p w14:paraId="7DEEC770" w14:textId="242DC8A7" w:rsidR="00457281" w:rsidRPr="00D17C6F" w:rsidRDefault="00457281" w:rsidP="003C101E">
      <w:pPr>
        <w:pStyle w:val="ListParagraph"/>
        <w:numPr>
          <w:ilvl w:val="1"/>
          <w:numId w:val="5"/>
        </w:numPr>
        <w:rPr>
          <w:sz w:val="24"/>
          <w:szCs w:val="24"/>
        </w:rPr>
      </w:pPr>
      <w:r w:rsidRPr="00D17C6F">
        <w:rPr>
          <w:sz w:val="24"/>
          <w:szCs w:val="24"/>
        </w:rPr>
        <w:t xml:space="preserve">If the suspect refuses </w:t>
      </w:r>
      <w:r w:rsidR="009E3C85" w:rsidRPr="00D17C6F">
        <w:rPr>
          <w:sz w:val="24"/>
          <w:szCs w:val="24"/>
        </w:rPr>
        <w:t>consent to submit DNA evidence, a search warrant may be required to collect the DNA reference standard.</w:t>
      </w:r>
      <w:r w:rsidR="00995CAA">
        <w:rPr>
          <w:sz w:val="24"/>
          <w:szCs w:val="24"/>
        </w:rPr>
        <w:br/>
      </w:r>
    </w:p>
    <w:p w14:paraId="4C661670" w14:textId="0B777AF3" w:rsidR="00564C44" w:rsidRPr="00D17C6F" w:rsidRDefault="00564C44" w:rsidP="003C101E">
      <w:pPr>
        <w:pStyle w:val="ListParagraph"/>
        <w:numPr>
          <w:ilvl w:val="1"/>
          <w:numId w:val="5"/>
        </w:numPr>
        <w:rPr>
          <w:sz w:val="24"/>
          <w:szCs w:val="24"/>
        </w:rPr>
      </w:pPr>
      <w:r w:rsidRPr="00D17C6F">
        <w:rPr>
          <w:sz w:val="24"/>
          <w:szCs w:val="24"/>
        </w:rPr>
        <w:t>When a sexual assault forensic examination is performed on a suspect who is in custody, the investigating officer shall advise the suspect of his</w:t>
      </w:r>
      <w:r w:rsidR="009244A0">
        <w:rPr>
          <w:sz w:val="24"/>
          <w:szCs w:val="24"/>
        </w:rPr>
        <w:t>/her</w:t>
      </w:r>
      <w:r w:rsidRPr="00D17C6F">
        <w:rPr>
          <w:sz w:val="24"/>
          <w:szCs w:val="24"/>
        </w:rPr>
        <w:t xml:space="preserve"> rights as required by the Miranda decision prior to his</w:t>
      </w:r>
      <w:r w:rsidR="009244A0">
        <w:rPr>
          <w:sz w:val="24"/>
          <w:szCs w:val="24"/>
        </w:rPr>
        <w:t>/her</w:t>
      </w:r>
      <w:r w:rsidRPr="00D17C6F">
        <w:rPr>
          <w:sz w:val="24"/>
          <w:szCs w:val="24"/>
        </w:rPr>
        <w:t xml:space="preserve"> being asked any questions by the medical examiner.</w:t>
      </w:r>
      <w:r w:rsidR="00995CAA">
        <w:rPr>
          <w:sz w:val="24"/>
          <w:szCs w:val="24"/>
        </w:rPr>
        <w:br/>
      </w:r>
    </w:p>
    <w:p w14:paraId="03779F2F" w14:textId="01B46C4F" w:rsidR="000344BB" w:rsidRPr="00D17C6F" w:rsidRDefault="000344BB" w:rsidP="003C101E">
      <w:pPr>
        <w:pStyle w:val="ListParagraph"/>
        <w:numPr>
          <w:ilvl w:val="1"/>
          <w:numId w:val="5"/>
        </w:numPr>
        <w:rPr>
          <w:sz w:val="24"/>
          <w:szCs w:val="24"/>
        </w:rPr>
      </w:pPr>
      <w:r w:rsidRPr="00D17C6F">
        <w:rPr>
          <w:sz w:val="24"/>
          <w:szCs w:val="24"/>
        </w:rPr>
        <w:t>The investigating officer shall interview the medical examiner</w:t>
      </w:r>
      <w:r w:rsidR="00835EB6" w:rsidRPr="00D17C6F">
        <w:rPr>
          <w:sz w:val="24"/>
          <w:szCs w:val="24"/>
        </w:rPr>
        <w:t xml:space="preserve"> and document the interview in a case supplement report</w:t>
      </w:r>
      <w:r w:rsidRPr="00D17C6F">
        <w:rPr>
          <w:sz w:val="24"/>
          <w:szCs w:val="24"/>
        </w:rPr>
        <w:t>.</w:t>
      </w:r>
      <w:r w:rsidR="00995CAA">
        <w:rPr>
          <w:sz w:val="24"/>
          <w:szCs w:val="24"/>
        </w:rPr>
        <w:br/>
      </w:r>
    </w:p>
    <w:p w14:paraId="1F226F0C" w14:textId="01ABD6BD" w:rsidR="00564C44" w:rsidRPr="00D17C6F" w:rsidRDefault="00564C44" w:rsidP="003C101E">
      <w:pPr>
        <w:pStyle w:val="ListParagraph"/>
        <w:numPr>
          <w:ilvl w:val="1"/>
          <w:numId w:val="5"/>
        </w:numPr>
        <w:rPr>
          <w:sz w:val="24"/>
          <w:szCs w:val="24"/>
        </w:rPr>
      </w:pPr>
      <w:r w:rsidRPr="00D17C6F">
        <w:rPr>
          <w:sz w:val="24"/>
          <w:szCs w:val="24"/>
        </w:rPr>
        <w:t>The methods used to obtain the suspect DNA evidence shall be documented in the case report.</w:t>
      </w:r>
      <w:r w:rsidR="00D17C6F" w:rsidRPr="00D17C6F">
        <w:rPr>
          <w:sz w:val="24"/>
          <w:szCs w:val="24"/>
        </w:rPr>
        <w:t xml:space="preserve"> </w:t>
      </w:r>
      <w:r w:rsidR="00995CAA">
        <w:rPr>
          <w:sz w:val="24"/>
          <w:szCs w:val="24"/>
        </w:rPr>
        <w:br/>
      </w:r>
    </w:p>
    <w:p w14:paraId="070ACFD7" w14:textId="77777777" w:rsidR="00564C44" w:rsidRPr="00D17C6F" w:rsidRDefault="00564C44" w:rsidP="003C101E">
      <w:pPr>
        <w:pStyle w:val="ListParagraph"/>
        <w:numPr>
          <w:ilvl w:val="1"/>
          <w:numId w:val="5"/>
        </w:numPr>
        <w:rPr>
          <w:sz w:val="24"/>
          <w:szCs w:val="24"/>
        </w:rPr>
      </w:pPr>
      <w:r w:rsidRPr="00D17C6F">
        <w:rPr>
          <w:sz w:val="24"/>
          <w:szCs w:val="24"/>
        </w:rPr>
        <w:t xml:space="preserve">The suspect’s DNA evidence shall be collected, submitted for testing, stored, and retained </w:t>
      </w:r>
      <w:r w:rsidR="00FE2EFD" w:rsidRPr="00D17C6F">
        <w:rPr>
          <w:sz w:val="24"/>
          <w:szCs w:val="24"/>
        </w:rPr>
        <w:t xml:space="preserve">according to the Kentucky State Police Forensic Laboratory </w:t>
      </w:r>
      <w:r w:rsidR="00FE2EFD" w:rsidRPr="00D17C6F">
        <w:rPr>
          <w:i/>
          <w:sz w:val="24"/>
          <w:szCs w:val="24"/>
        </w:rPr>
        <w:t>Physical Evidence Collection Guide</w:t>
      </w:r>
      <w:r w:rsidR="00FE2EFD" w:rsidRPr="00D17C6F">
        <w:rPr>
          <w:sz w:val="24"/>
          <w:szCs w:val="24"/>
        </w:rPr>
        <w:t xml:space="preserve"> and</w:t>
      </w:r>
      <w:r w:rsidR="00D17C6F" w:rsidRPr="00D17C6F">
        <w:rPr>
          <w:sz w:val="24"/>
          <w:szCs w:val="24"/>
        </w:rPr>
        <w:t xml:space="preserve"> </w:t>
      </w:r>
      <w:r w:rsidR="00835EB6" w:rsidRPr="00D17C6F">
        <w:rPr>
          <w:sz w:val="24"/>
          <w:szCs w:val="24"/>
        </w:rPr>
        <w:t>agency evidence collection and storage policies</w:t>
      </w:r>
      <w:r w:rsidRPr="00D17C6F">
        <w:rPr>
          <w:sz w:val="24"/>
          <w:szCs w:val="24"/>
        </w:rPr>
        <w:t>.</w:t>
      </w:r>
      <w:r w:rsidR="00D17C6F" w:rsidRPr="00D17C6F">
        <w:rPr>
          <w:sz w:val="24"/>
          <w:szCs w:val="24"/>
        </w:rPr>
        <w:t xml:space="preserve"> </w:t>
      </w:r>
    </w:p>
    <w:p w14:paraId="44D43296" w14:textId="77777777" w:rsidR="001F0A40" w:rsidRPr="00D17C6F" w:rsidRDefault="001F0A40" w:rsidP="001F0A40">
      <w:pPr>
        <w:rPr>
          <w:sz w:val="24"/>
          <w:szCs w:val="24"/>
        </w:rPr>
      </w:pPr>
    </w:p>
    <w:p w14:paraId="1BA58946" w14:textId="77777777" w:rsidR="001F0A40" w:rsidRPr="00D17C6F" w:rsidRDefault="001F0A40" w:rsidP="00A3381B">
      <w:pPr>
        <w:widowControl/>
        <w:numPr>
          <w:ilvl w:val="0"/>
          <w:numId w:val="15"/>
        </w:numPr>
        <w:rPr>
          <w:sz w:val="24"/>
          <w:szCs w:val="24"/>
        </w:rPr>
      </w:pPr>
      <w:r w:rsidRPr="00D17C6F">
        <w:rPr>
          <w:sz w:val="24"/>
          <w:szCs w:val="24"/>
        </w:rPr>
        <w:t>When notified by a medical facility that a sexual assault forensic evidence kit has been completed</w:t>
      </w:r>
      <w:r w:rsidR="00C5591E" w:rsidRPr="00D17C6F">
        <w:rPr>
          <w:sz w:val="24"/>
          <w:szCs w:val="24"/>
        </w:rPr>
        <w:t xml:space="preserve"> and the victim chooses to report the crime to law enforcement</w:t>
      </w:r>
      <w:r w:rsidRPr="00D17C6F">
        <w:rPr>
          <w:sz w:val="24"/>
          <w:szCs w:val="24"/>
        </w:rPr>
        <w:t>, an investigating officer shall retrieve the kit within five (5) days.</w:t>
      </w:r>
      <w:r w:rsidR="00D17C6F" w:rsidRPr="00D17C6F">
        <w:rPr>
          <w:sz w:val="24"/>
          <w:szCs w:val="24"/>
        </w:rPr>
        <w:t xml:space="preserve"> </w:t>
      </w:r>
      <w:r w:rsidRPr="00D17C6F">
        <w:rPr>
          <w:sz w:val="24"/>
          <w:szCs w:val="24"/>
        </w:rPr>
        <w:t>An investigation shall proceed according to</w:t>
      </w:r>
      <w:r w:rsidR="00D17C6F" w:rsidRPr="00D17C6F">
        <w:rPr>
          <w:sz w:val="24"/>
          <w:szCs w:val="24"/>
        </w:rPr>
        <w:t xml:space="preserve"> </w:t>
      </w:r>
      <w:r w:rsidR="00835EB6" w:rsidRPr="00D17C6F">
        <w:rPr>
          <w:sz w:val="24"/>
          <w:szCs w:val="24"/>
        </w:rPr>
        <w:t>this policy</w:t>
      </w:r>
      <w:r w:rsidRPr="00D17C6F">
        <w:rPr>
          <w:sz w:val="24"/>
          <w:szCs w:val="24"/>
        </w:rPr>
        <w:t xml:space="preserve">. </w:t>
      </w:r>
      <w:r w:rsidRPr="00D17C6F">
        <w:rPr>
          <w:b/>
          <w:sz w:val="24"/>
          <w:szCs w:val="24"/>
        </w:rPr>
        <w:t>KRS 15.440</w:t>
      </w:r>
    </w:p>
    <w:p w14:paraId="389001AC" w14:textId="77777777" w:rsidR="001F0A40" w:rsidRPr="00D17C6F" w:rsidRDefault="001F0A40" w:rsidP="001F0A40">
      <w:pPr>
        <w:ind w:left="360"/>
        <w:rPr>
          <w:sz w:val="24"/>
          <w:szCs w:val="24"/>
        </w:rPr>
      </w:pPr>
    </w:p>
    <w:p w14:paraId="1D345776" w14:textId="77777777" w:rsidR="002F6783" w:rsidRPr="00414E63" w:rsidRDefault="001F0A40" w:rsidP="001F0A40">
      <w:pPr>
        <w:widowControl/>
        <w:numPr>
          <w:ilvl w:val="0"/>
          <w:numId w:val="15"/>
        </w:numPr>
        <w:rPr>
          <w:sz w:val="24"/>
          <w:szCs w:val="24"/>
        </w:rPr>
      </w:pPr>
      <w:r w:rsidRPr="00D17C6F">
        <w:rPr>
          <w:sz w:val="24"/>
          <w:szCs w:val="24"/>
        </w:rPr>
        <w:t xml:space="preserve">All sexual assault forensic evidence (SAFE) kits shall be submitted to the forensic laboratory for testing within thirty (30) days of receipt. </w:t>
      </w:r>
      <w:r w:rsidRPr="00D17C6F">
        <w:rPr>
          <w:b/>
          <w:sz w:val="24"/>
          <w:szCs w:val="24"/>
        </w:rPr>
        <w:t>KRS 15.440</w:t>
      </w:r>
    </w:p>
    <w:p w14:paraId="7C0C0E80" w14:textId="77777777" w:rsidR="002F6783" w:rsidRDefault="002F6783" w:rsidP="00414E63">
      <w:pPr>
        <w:pStyle w:val="ListParagraph"/>
        <w:rPr>
          <w:b/>
          <w:sz w:val="24"/>
          <w:szCs w:val="24"/>
        </w:rPr>
      </w:pPr>
    </w:p>
    <w:p w14:paraId="079CE2A7" w14:textId="549B4769" w:rsidR="001F0A40" w:rsidRPr="00D17C6F" w:rsidRDefault="002F6783" w:rsidP="001F0A40">
      <w:pPr>
        <w:widowControl/>
        <w:numPr>
          <w:ilvl w:val="0"/>
          <w:numId w:val="15"/>
        </w:numPr>
        <w:rPr>
          <w:sz w:val="24"/>
          <w:szCs w:val="24"/>
        </w:rPr>
      </w:pPr>
      <w:r w:rsidRPr="00D17C6F">
        <w:rPr>
          <w:sz w:val="24"/>
          <w:szCs w:val="24"/>
        </w:rPr>
        <w:t>Other associated evidence with potential DNA evidence should not be submitted to the lab initially. If testing the kit does not generate a DNA profile of the suspect, other items may be submitted for analysis</w:t>
      </w:r>
      <w:r w:rsidR="0040406D">
        <w:rPr>
          <w:sz w:val="24"/>
          <w:szCs w:val="24"/>
        </w:rPr>
        <w:t>.</w:t>
      </w:r>
    </w:p>
    <w:p w14:paraId="7D1F78F6" w14:textId="7F6825CE" w:rsidR="001F0A40" w:rsidRPr="00D17C6F" w:rsidRDefault="001F0A40" w:rsidP="001F0A40">
      <w:pPr>
        <w:pStyle w:val="ListParagraph"/>
        <w:rPr>
          <w:sz w:val="24"/>
          <w:szCs w:val="24"/>
        </w:rPr>
      </w:pPr>
    </w:p>
    <w:p w14:paraId="06F18FAE" w14:textId="35A0DDD1" w:rsidR="00925694" w:rsidRPr="00414E63" w:rsidRDefault="001F0A40" w:rsidP="001F0A40">
      <w:pPr>
        <w:widowControl/>
        <w:numPr>
          <w:ilvl w:val="0"/>
          <w:numId w:val="15"/>
        </w:numPr>
        <w:rPr>
          <w:sz w:val="24"/>
          <w:szCs w:val="24"/>
        </w:rPr>
      </w:pPr>
      <w:r w:rsidRPr="00D17C6F">
        <w:rPr>
          <w:sz w:val="24"/>
          <w:szCs w:val="24"/>
        </w:rPr>
        <w:t>In sexual assault cases where suspect DNA evidence has been collected, the suspect DNA evidence shall be transmitted to the forensic laboratory at the same time as the victim’s sexual assault forensic evidence or within thirty (30) days of collection,</w:t>
      </w:r>
      <w:r w:rsidR="00D17C6F" w:rsidRPr="00D17C6F">
        <w:rPr>
          <w:sz w:val="24"/>
          <w:szCs w:val="24"/>
        </w:rPr>
        <w:t xml:space="preserve"> </w:t>
      </w:r>
      <w:r w:rsidRPr="00D17C6F">
        <w:rPr>
          <w:sz w:val="24"/>
          <w:szCs w:val="24"/>
        </w:rPr>
        <w:t xml:space="preserve">whichever is sooner. </w:t>
      </w:r>
      <w:r w:rsidRPr="00D17C6F">
        <w:rPr>
          <w:b/>
          <w:sz w:val="24"/>
          <w:szCs w:val="24"/>
        </w:rPr>
        <w:t>KRS 15.440</w:t>
      </w:r>
      <w:r w:rsidR="00925694">
        <w:rPr>
          <w:b/>
          <w:sz w:val="24"/>
          <w:szCs w:val="24"/>
        </w:rPr>
        <w:br/>
      </w:r>
    </w:p>
    <w:p w14:paraId="0E293B8F" w14:textId="43D280E2" w:rsidR="00925694" w:rsidRPr="00161A00" w:rsidRDefault="00925694" w:rsidP="001F0A40">
      <w:pPr>
        <w:widowControl/>
        <w:numPr>
          <w:ilvl w:val="0"/>
          <w:numId w:val="15"/>
        </w:numPr>
        <w:rPr>
          <w:bCs/>
          <w:sz w:val="24"/>
          <w:szCs w:val="24"/>
        </w:rPr>
      </w:pPr>
      <w:r w:rsidRPr="00161A00">
        <w:rPr>
          <w:bCs/>
          <w:sz w:val="24"/>
          <w:szCs w:val="24"/>
        </w:rPr>
        <w:t xml:space="preserve">All SAFE kits shall be submitted to the Kentucky State Police Central Laboratory Branch, Forensic Biology Section within </w:t>
      </w:r>
      <w:r w:rsidR="00E14CAD">
        <w:rPr>
          <w:bCs/>
          <w:sz w:val="24"/>
          <w:szCs w:val="24"/>
        </w:rPr>
        <w:t>thirty (</w:t>
      </w:r>
      <w:r w:rsidRPr="00161A00">
        <w:rPr>
          <w:bCs/>
          <w:sz w:val="24"/>
          <w:szCs w:val="24"/>
        </w:rPr>
        <w:t>30</w:t>
      </w:r>
      <w:r w:rsidR="00E14CAD">
        <w:rPr>
          <w:bCs/>
          <w:sz w:val="24"/>
          <w:szCs w:val="24"/>
        </w:rPr>
        <w:t>)</w:t>
      </w:r>
      <w:r w:rsidRPr="00161A00">
        <w:rPr>
          <w:bCs/>
          <w:sz w:val="24"/>
          <w:szCs w:val="24"/>
        </w:rPr>
        <w:t xml:space="preserve"> days of their receipt and in accordance</w:t>
      </w:r>
      <w:r w:rsidR="00161A00" w:rsidRPr="00161A00">
        <w:rPr>
          <w:bCs/>
          <w:sz w:val="24"/>
          <w:szCs w:val="24"/>
        </w:rPr>
        <w:t xml:space="preserve"> </w:t>
      </w:r>
      <w:r w:rsidRPr="00161A00">
        <w:rPr>
          <w:bCs/>
          <w:sz w:val="24"/>
          <w:szCs w:val="24"/>
        </w:rPr>
        <w:t>with KRS 17.175 and agency evidence collection and submission policies.</w:t>
      </w:r>
      <w:r w:rsidRPr="00161A00">
        <w:rPr>
          <w:bCs/>
          <w:sz w:val="24"/>
          <w:szCs w:val="24"/>
        </w:rPr>
        <w:br/>
      </w:r>
    </w:p>
    <w:p w14:paraId="111175A0" w14:textId="61497CC9" w:rsidR="00925694" w:rsidRPr="00161A00" w:rsidRDefault="00925694" w:rsidP="00925694">
      <w:pPr>
        <w:widowControl/>
        <w:numPr>
          <w:ilvl w:val="0"/>
          <w:numId w:val="15"/>
        </w:numPr>
        <w:rPr>
          <w:bCs/>
          <w:sz w:val="24"/>
          <w:szCs w:val="24"/>
        </w:rPr>
      </w:pPr>
      <w:r w:rsidRPr="00161A00">
        <w:rPr>
          <w:bCs/>
          <w:sz w:val="24"/>
          <w:szCs w:val="24"/>
        </w:rPr>
        <w:t>In accordance with KRS 15.440 SAFE kits received from a collecting facility relating to an incident which occurred outside the jurisdiction of the agency shall be transmitted to a department with jurisdiction within</w:t>
      </w:r>
      <w:r w:rsidR="00E14CAD">
        <w:rPr>
          <w:bCs/>
          <w:sz w:val="24"/>
          <w:szCs w:val="24"/>
        </w:rPr>
        <w:t xml:space="preserve"> ten</w:t>
      </w:r>
      <w:r w:rsidRPr="00161A00">
        <w:rPr>
          <w:bCs/>
          <w:sz w:val="24"/>
          <w:szCs w:val="24"/>
        </w:rPr>
        <w:t xml:space="preserve"> (10) days of its receipt by the agency. A unique case number shall be obtained and a KSP 41 shall be completed for these SAFE kits per agency evidence collection policy.</w:t>
      </w:r>
      <w:r w:rsidRPr="00161A00">
        <w:rPr>
          <w:bCs/>
          <w:sz w:val="24"/>
          <w:szCs w:val="24"/>
        </w:rPr>
        <w:br/>
      </w:r>
    </w:p>
    <w:p w14:paraId="1A57F509" w14:textId="71A3A556" w:rsidR="001F0A40" w:rsidRPr="00414E63" w:rsidRDefault="00925694" w:rsidP="00414E63">
      <w:pPr>
        <w:rPr>
          <w:sz w:val="24"/>
          <w:szCs w:val="24"/>
        </w:rPr>
      </w:pPr>
      <w:bookmarkStart w:id="3" w:name="_Hlk121837273"/>
      <w:r>
        <w:rPr>
          <w:sz w:val="24"/>
          <w:szCs w:val="24"/>
        </w:rPr>
        <w:t xml:space="preserve">I. </w:t>
      </w:r>
      <w:r w:rsidR="001F0A40" w:rsidRPr="00414E63">
        <w:rPr>
          <w:sz w:val="24"/>
          <w:szCs w:val="24"/>
        </w:rPr>
        <w:t xml:space="preserve">Retention of biological evidence shall be in accordance with </w:t>
      </w:r>
      <w:r w:rsidR="001F0A40" w:rsidRPr="00414E63">
        <w:rPr>
          <w:b/>
          <w:sz w:val="24"/>
          <w:szCs w:val="24"/>
        </w:rPr>
        <w:t>KRS 524.140</w:t>
      </w:r>
      <w:r w:rsidR="001F0A40" w:rsidRPr="00414E63">
        <w:rPr>
          <w:sz w:val="24"/>
          <w:szCs w:val="24"/>
        </w:rPr>
        <w:t>.</w:t>
      </w:r>
      <w:bookmarkEnd w:id="3"/>
      <w:r w:rsidR="00995CAA" w:rsidRPr="00414E63">
        <w:rPr>
          <w:sz w:val="24"/>
          <w:szCs w:val="24"/>
        </w:rPr>
        <w:br/>
      </w:r>
    </w:p>
    <w:p w14:paraId="3B6014A4" w14:textId="04D3A4C6" w:rsidR="001F0A40" w:rsidRPr="00D17C6F" w:rsidRDefault="001F0A40" w:rsidP="001F0A40">
      <w:pPr>
        <w:widowControl/>
        <w:numPr>
          <w:ilvl w:val="0"/>
          <w:numId w:val="10"/>
        </w:numPr>
        <w:tabs>
          <w:tab w:val="clear" w:pos="360"/>
          <w:tab w:val="num" w:pos="720"/>
        </w:tabs>
        <w:ind w:left="720"/>
        <w:rPr>
          <w:sz w:val="24"/>
          <w:szCs w:val="24"/>
        </w:rPr>
      </w:pPr>
      <w:r w:rsidRPr="00D17C6F">
        <w:rPr>
          <w:sz w:val="24"/>
          <w:szCs w:val="24"/>
        </w:rPr>
        <w:t>After laboratory testing has been completed, remaining biological evidence including sexual assault forensic evidence kits and associated evidence shall be transferred back to the originating evidence room.</w:t>
      </w:r>
      <w:r w:rsidR="00EE05C9">
        <w:rPr>
          <w:sz w:val="24"/>
          <w:szCs w:val="24"/>
        </w:rPr>
        <w:br/>
      </w:r>
    </w:p>
    <w:p w14:paraId="70049E28" w14:textId="7D7FD039" w:rsidR="001F0A40" w:rsidRPr="00D17C6F" w:rsidRDefault="001F0A40" w:rsidP="001F0A40">
      <w:pPr>
        <w:widowControl/>
        <w:numPr>
          <w:ilvl w:val="0"/>
          <w:numId w:val="11"/>
        </w:numPr>
        <w:tabs>
          <w:tab w:val="clear" w:pos="360"/>
          <w:tab w:val="num" w:pos="1080"/>
        </w:tabs>
        <w:ind w:left="1080"/>
        <w:rPr>
          <w:sz w:val="24"/>
          <w:szCs w:val="24"/>
        </w:rPr>
      </w:pPr>
      <w:r w:rsidRPr="00D17C6F">
        <w:rPr>
          <w:sz w:val="24"/>
          <w:szCs w:val="24"/>
        </w:rPr>
        <w:t xml:space="preserve">Biological evidence, including sexual assault evidence, in any Class A, B, C, felony or Class D felony under KRS Chapter 510 shall not be destroyed </w:t>
      </w:r>
      <w:r w:rsidRPr="00D17C6F">
        <w:rPr>
          <w:sz w:val="24"/>
          <w:szCs w:val="24"/>
          <w:u w:val="single"/>
        </w:rPr>
        <w:t>prior</w:t>
      </w:r>
      <w:r w:rsidRPr="00D17C6F">
        <w:rPr>
          <w:sz w:val="24"/>
          <w:szCs w:val="24"/>
        </w:rPr>
        <w:t xml:space="preserve"> to a trial unless:</w:t>
      </w:r>
      <w:r w:rsidR="00290668">
        <w:rPr>
          <w:sz w:val="24"/>
          <w:szCs w:val="24"/>
        </w:rPr>
        <w:br/>
      </w:r>
    </w:p>
    <w:p w14:paraId="7C3468C7" w14:textId="77777777" w:rsidR="001F0A40" w:rsidRPr="00D17C6F" w:rsidRDefault="001F0A40" w:rsidP="00835EB6">
      <w:pPr>
        <w:widowControl/>
        <w:numPr>
          <w:ilvl w:val="3"/>
          <w:numId w:val="24"/>
        </w:numPr>
        <w:rPr>
          <w:sz w:val="24"/>
          <w:szCs w:val="24"/>
        </w:rPr>
      </w:pPr>
      <w:r w:rsidRPr="00D17C6F">
        <w:rPr>
          <w:sz w:val="24"/>
          <w:szCs w:val="24"/>
        </w:rPr>
        <w:lastRenderedPageBreak/>
        <w:t>It has been in custody for fifty (50) years; or</w:t>
      </w:r>
    </w:p>
    <w:p w14:paraId="01A48B10" w14:textId="77777777" w:rsidR="00835EB6" w:rsidRPr="00D17C6F" w:rsidRDefault="001F0A40" w:rsidP="00835EB6">
      <w:pPr>
        <w:widowControl/>
        <w:numPr>
          <w:ilvl w:val="3"/>
          <w:numId w:val="24"/>
        </w:numPr>
        <w:rPr>
          <w:sz w:val="24"/>
          <w:szCs w:val="24"/>
        </w:rPr>
      </w:pPr>
      <w:r w:rsidRPr="00D17C6F">
        <w:rPr>
          <w:sz w:val="24"/>
          <w:szCs w:val="24"/>
        </w:rPr>
        <w:t>It has been in custody for at least ten (10) years; and</w:t>
      </w:r>
    </w:p>
    <w:p w14:paraId="2077A687" w14:textId="77777777" w:rsidR="00835EB6" w:rsidRPr="00D17C6F" w:rsidRDefault="001F0A40" w:rsidP="00835EB6">
      <w:pPr>
        <w:widowControl/>
        <w:numPr>
          <w:ilvl w:val="4"/>
          <w:numId w:val="24"/>
        </w:numPr>
        <w:rPr>
          <w:sz w:val="24"/>
          <w:szCs w:val="24"/>
        </w:rPr>
      </w:pPr>
      <w:r w:rsidRPr="00D17C6F">
        <w:rPr>
          <w:sz w:val="24"/>
          <w:szCs w:val="24"/>
        </w:rPr>
        <w:t>the prosecution has determined the defendant will not be tried; and</w:t>
      </w:r>
    </w:p>
    <w:p w14:paraId="293C47FC" w14:textId="4664F43B" w:rsidR="001F0A40" w:rsidRPr="00D17C6F" w:rsidRDefault="001F0A40" w:rsidP="00835EB6">
      <w:pPr>
        <w:widowControl/>
        <w:numPr>
          <w:ilvl w:val="4"/>
          <w:numId w:val="24"/>
        </w:numPr>
        <w:rPr>
          <w:sz w:val="24"/>
          <w:szCs w:val="24"/>
        </w:rPr>
      </w:pPr>
      <w:r w:rsidRPr="00D17C6F">
        <w:rPr>
          <w:sz w:val="24"/>
          <w:szCs w:val="24"/>
        </w:rPr>
        <w:t>the prosecution has made a motion before the court to destroy the evidence.</w:t>
      </w:r>
      <w:r w:rsidR="00EE05C9">
        <w:rPr>
          <w:sz w:val="24"/>
          <w:szCs w:val="24"/>
        </w:rPr>
        <w:br/>
      </w:r>
    </w:p>
    <w:p w14:paraId="08A263B5" w14:textId="664B7FC7" w:rsidR="001F0A40" w:rsidRPr="00D17C6F" w:rsidRDefault="001F0A40" w:rsidP="001F0A40">
      <w:pPr>
        <w:widowControl/>
        <w:numPr>
          <w:ilvl w:val="0"/>
          <w:numId w:val="11"/>
        </w:numPr>
        <w:tabs>
          <w:tab w:val="clear" w:pos="360"/>
        </w:tabs>
        <w:ind w:left="1080"/>
        <w:rPr>
          <w:sz w:val="24"/>
          <w:szCs w:val="24"/>
        </w:rPr>
      </w:pPr>
      <w:r w:rsidRPr="00D17C6F">
        <w:rPr>
          <w:sz w:val="24"/>
          <w:szCs w:val="24"/>
        </w:rPr>
        <w:t xml:space="preserve">Biological evidence, including sexual assault evidence, in any Class A, B, C, felony or Class D felony under KRS Chapter 510 shall not be destroyed </w:t>
      </w:r>
      <w:r w:rsidRPr="00D17C6F">
        <w:rPr>
          <w:sz w:val="24"/>
          <w:szCs w:val="24"/>
          <w:u w:val="single"/>
        </w:rPr>
        <w:t>following</w:t>
      </w:r>
      <w:r w:rsidRPr="00D17C6F">
        <w:rPr>
          <w:sz w:val="24"/>
          <w:szCs w:val="24"/>
        </w:rPr>
        <w:t xml:space="preserve"> a trial unless:</w:t>
      </w:r>
      <w:r w:rsidR="00EE05C9">
        <w:rPr>
          <w:sz w:val="24"/>
          <w:szCs w:val="24"/>
        </w:rPr>
        <w:br/>
      </w:r>
    </w:p>
    <w:p w14:paraId="58D7C7B8" w14:textId="77777777" w:rsidR="001F0A40" w:rsidRPr="00D17C6F" w:rsidRDefault="001F0A40" w:rsidP="00835EB6">
      <w:pPr>
        <w:widowControl/>
        <w:numPr>
          <w:ilvl w:val="3"/>
          <w:numId w:val="13"/>
        </w:numPr>
        <w:rPr>
          <w:sz w:val="24"/>
          <w:szCs w:val="24"/>
        </w:rPr>
      </w:pPr>
      <w:r w:rsidRPr="00D17C6F">
        <w:rPr>
          <w:sz w:val="24"/>
          <w:szCs w:val="24"/>
        </w:rPr>
        <w:t>The evidence was DNA tested and presented at trial; and the suspect was found guilty, pled guilty, or entered an Alford plea; or</w:t>
      </w:r>
    </w:p>
    <w:p w14:paraId="6915BF70" w14:textId="57E02286" w:rsidR="001F0A40" w:rsidRPr="00D17C6F" w:rsidRDefault="001F0A40" w:rsidP="00835EB6">
      <w:pPr>
        <w:widowControl/>
        <w:numPr>
          <w:ilvl w:val="3"/>
          <w:numId w:val="13"/>
        </w:numPr>
        <w:rPr>
          <w:sz w:val="24"/>
          <w:szCs w:val="24"/>
        </w:rPr>
      </w:pPr>
      <w:r w:rsidRPr="00D17C6F">
        <w:rPr>
          <w:sz w:val="24"/>
          <w:szCs w:val="24"/>
        </w:rPr>
        <w:t>The evidence was</w:t>
      </w:r>
      <w:r w:rsidR="003235FB">
        <w:rPr>
          <w:sz w:val="24"/>
          <w:szCs w:val="24"/>
        </w:rPr>
        <w:t xml:space="preserve"> not</w:t>
      </w:r>
      <w:r w:rsidRPr="00D17C6F">
        <w:rPr>
          <w:sz w:val="24"/>
          <w:szCs w:val="24"/>
        </w:rPr>
        <w:t xml:space="preserve"> </w:t>
      </w:r>
      <w:r w:rsidR="003235FB">
        <w:rPr>
          <w:sz w:val="24"/>
          <w:szCs w:val="24"/>
        </w:rPr>
        <w:t xml:space="preserve">introduced </w:t>
      </w:r>
      <w:r w:rsidRPr="00D17C6F">
        <w:rPr>
          <w:sz w:val="24"/>
          <w:szCs w:val="24"/>
        </w:rPr>
        <w:t xml:space="preserve">at trial </w:t>
      </w:r>
      <w:r w:rsidR="003235FB">
        <w:rPr>
          <w:sz w:val="24"/>
          <w:szCs w:val="24"/>
        </w:rPr>
        <w:t>or</w:t>
      </w:r>
      <w:r w:rsidR="00401242">
        <w:rPr>
          <w:sz w:val="24"/>
          <w:szCs w:val="24"/>
        </w:rPr>
        <w:t xml:space="preserve"> if</w:t>
      </w:r>
      <w:r w:rsidR="003235FB">
        <w:rPr>
          <w:sz w:val="24"/>
          <w:szCs w:val="24"/>
        </w:rPr>
        <w:t xml:space="preserve"> introduced at trial</w:t>
      </w:r>
      <w:r w:rsidRPr="00D17C6F">
        <w:rPr>
          <w:sz w:val="24"/>
          <w:szCs w:val="24"/>
        </w:rPr>
        <w:t xml:space="preserve"> DNA testing </w:t>
      </w:r>
      <w:r w:rsidR="00401242">
        <w:rPr>
          <w:sz w:val="24"/>
          <w:szCs w:val="24"/>
        </w:rPr>
        <w:t xml:space="preserve">was </w:t>
      </w:r>
      <w:r w:rsidRPr="00D17C6F">
        <w:rPr>
          <w:sz w:val="24"/>
          <w:szCs w:val="24"/>
        </w:rPr>
        <w:t>not completed and the suspect was found guilty, pled guilty, or entered an Alford plea and the court has ordered the destruction of the evidence; or</w:t>
      </w:r>
    </w:p>
    <w:p w14:paraId="025E08E7" w14:textId="77777777" w:rsidR="001F0A40" w:rsidRPr="00D17C6F" w:rsidRDefault="001F0A40" w:rsidP="00835EB6">
      <w:pPr>
        <w:widowControl/>
        <w:numPr>
          <w:ilvl w:val="3"/>
          <w:numId w:val="13"/>
        </w:numPr>
        <w:rPr>
          <w:sz w:val="24"/>
          <w:szCs w:val="24"/>
        </w:rPr>
      </w:pPr>
      <w:r w:rsidRPr="00D17C6F">
        <w:rPr>
          <w:sz w:val="24"/>
          <w:szCs w:val="24"/>
        </w:rPr>
        <w:t>The court has ordered the destruction of the evidence, regardless of whether it was tested or presented at trial; or</w:t>
      </w:r>
    </w:p>
    <w:p w14:paraId="722FB222" w14:textId="77777777" w:rsidR="00F87F73" w:rsidRDefault="001F0A40" w:rsidP="00F87F73">
      <w:pPr>
        <w:widowControl/>
        <w:numPr>
          <w:ilvl w:val="3"/>
          <w:numId w:val="13"/>
        </w:numPr>
        <w:rPr>
          <w:sz w:val="24"/>
          <w:szCs w:val="24"/>
        </w:rPr>
      </w:pPr>
      <w:r w:rsidRPr="00D17C6F">
        <w:rPr>
          <w:sz w:val="24"/>
          <w:szCs w:val="24"/>
        </w:rPr>
        <w:t>The trial resulted in the defendant being found not guilty or the charges were dismissed with jeopardy attached and the trial court ordered the destruction of the evidence; or</w:t>
      </w:r>
    </w:p>
    <w:p w14:paraId="33FF016B" w14:textId="56A136A0" w:rsidR="00F87F73" w:rsidRDefault="00F87F73" w:rsidP="00F87F73">
      <w:pPr>
        <w:widowControl/>
        <w:numPr>
          <w:ilvl w:val="3"/>
          <w:numId w:val="13"/>
        </w:numPr>
        <w:rPr>
          <w:sz w:val="24"/>
          <w:szCs w:val="24"/>
        </w:rPr>
      </w:pPr>
      <w:r w:rsidRPr="00F87F73">
        <w:rPr>
          <w:sz w:val="24"/>
          <w:szCs w:val="24"/>
        </w:rPr>
        <w:t xml:space="preserve">When the trial results in a dismissal of charges against the defendant, subject to retrial, the evidence shall be retained until after the retrial, subject to the provisions of </w:t>
      </w:r>
      <w:r w:rsidR="00817067">
        <w:rPr>
          <w:sz w:val="24"/>
          <w:szCs w:val="24"/>
        </w:rPr>
        <w:t>(I)</w:t>
      </w:r>
      <w:r w:rsidRPr="00F87F73">
        <w:rPr>
          <w:sz w:val="24"/>
          <w:szCs w:val="24"/>
        </w:rPr>
        <w:t>(1)(a), above.</w:t>
      </w:r>
    </w:p>
    <w:p w14:paraId="3CC824FB" w14:textId="68F6F760" w:rsidR="00EE05C9" w:rsidRPr="004B6921" w:rsidDel="00F87F73" w:rsidRDefault="00F87F73" w:rsidP="004B6921">
      <w:pPr>
        <w:widowControl/>
        <w:numPr>
          <w:ilvl w:val="3"/>
          <w:numId w:val="13"/>
        </w:numPr>
        <w:rPr>
          <w:sz w:val="24"/>
          <w:szCs w:val="24"/>
        </w:rPr>
      </w:pPr>
      <w:r w:rsidRPr="00F87F73">
        <w:rPr>
          <w:sz w:val="24"/>
          <w:szCs w:val="24"/>
        </w:rPr>
        <w:t xml:space="preserve">In the absence of a destruction order by the court, evidence </w:t>
      </w:r>
      <w:r w:rsidR="00753CB0">
        <w:rPr>
          <w:sz w:val="24"/>
          <w:szCs w:val="24"/>
        </w:rPr>
        <w:t xml:space="preserve">that may be subject to DNA evidence testing and analysis but for which no such testing or analysis has been completed </w:t>
      </w:r>
      <w:r w:rsidRPr="00F87F73">
        <w:rPr>
          <w:sz w:val="24"/>
          <w:szCs w:val="24"/>
        </w:rPr>
        <w:t xml:space="preserve">shall be retained for the </w:t>
      </w:r>
      <w:proofErr w:type="gramStart"/>
      <w:r w:rsidRPr="00F87F73">
        <w:rPr>
          <w:sz w:val="24"/>
          <w:szCs w:val="24"/>
        </w:rPr>
        <w:t>period of time</w:t>
      </w:r>
      <w:proofErr w:type="gramEnd"/>
      <w:r w:rsidRPr="00F87F73">
        <w:rPr>
          <w:sz w:val="24"/>
          <w:szCs w:val="24"/>
        </w:rPr>
        <w:t xml:space="preserve"> that any person remains incarcerated in connection with that criminal case. </w:t>
      </w:r>
      <w:r w:rsidRPr="00F87F73">
        <w:rPr>
          <w:b/>
          <w:sz w:val="24"/>
          <w:szCs w:val="24"/>
        </w:rPr>
        <w:t>KRS 524.140(3</w:t>
      </w:r>
      <w:proofErr w:type="gramStart"/>
      <w:r w:rsidRPr="00F87F73">
        <w:rPr>
          <w:b/>
          <w:sz w:val="24"/>
          <w:szCs w:val="24"/>
        </w:rPr>
        <w:t>),(</w:t>
      </w:r>
      <w:proofErr w:type="gramEnd"/>
      <w:r w:rsidRPr="00F87F73">
        <w:rPr>
          <w:b/>
          <w:sz w:val="24"/>
          <w:szCs w:val="24"/>
        </w:rPr>
        <w:t>7)</w:t>
      </w:r>
    </w:p>
    <w:p w14:paraId="2D6B56B0" w14:textId="77777777" w:rsidR="003A6BC0" w:rsidRDefault="003A6BC0" w:rsidP="003A6BC0">
      <w:pPr>
        <w:widowControl/>
        <w:rPr>
          <w:sz w:val="24"/>
          <w:szCs w:val="24"/>
        </w:rPr>
      </w:pPr>
    </w:p>
    <w:p w14:paraId="4291B53C" w14:textId="7F2F27AA" w:rsidR="005150C5" w:rsidRDefault="005150C5" w:rsidP="005150C5">
      <w:pPr>
        <w:pStyle w:val="ListParagraph"/>
        <w:widowControl/>
        <w:numPr>
          <w:ilvl w:val="1"/>
          <w:numId w:val="13"/>
        </w:numPr>
        <w:spacing w:after="160" w:line="259" w:lineRule="auto"/>
      </w:pPr>
      <w:r w:rsidRPr="005150C5">
        <w:rPr>
          <w:sz w:val="24"/>
          <w:szCs w:val="24"/>
        </w:rPr>
        <w:t xml:space="preserve">DNA evidence shall be retained pursuant to </w:t>
      </w:r>
      <w:r w:rsidRPr="005150C5">
        <w:rPr>
          <w:b/>
          <w:sz w:val="24"/>
          <w:szCs w:val="24"/>
        </w:rPr>
        <w:t>KRS 17.175</w:t>
      </w:r>
      <w:r w:rsidRPr="005150C5">
        <w:rPr>
          <w:sz w:val="24"/>
          <w:szCs w:val="24"/>
        </w:rPr>
        <w:t xml:space="preserve"> and agency policy for evidence storage and retention.</w:t>
      </w:r>
    </w:p>
    <w:p w14:paraId="591887D5" w14:textId="3B9B5919" w:rsidR="008B3A4D" w:rsidRDefault="00E14CAD" w:rsidP="00AA6B1D">
      <w:pPr>
        <w:rPr>
          <w:b/>
          <w:sz w:val="24"/>
          <w:szCs w:val="24"/>
          <w:u w:val="single"/>
        </w:rPr>
      </w:pPr>
      <w:r>
        <w:rPr>
          <w:b/>
          <w:sz w:val="24"/>
          <w:szCs w:val="24"/>
          <w:u w:val="single"/>
        </w:rPr>
        <w:t xml:space="preserve">VICTIM NOTIFICATION OF DNA TEST </w:t>
      </w:r>
      <w:r w:rsidR="00AC71D4">
        <w:rPr>
          <w:b/>
          <w:sz w:val="24"/>
          <w:szCs w:val="24"/>
          <w:u w:val="single"/>
        </w:rPr>
        <w:t>STATUS</w:t>
      </w:r>
    </w:p>
    <w:p w14:paraId="51B5E53B" w14:textId="77777777" w:rsidR="00AC71D4" w:rsidRPr="00D17C6F" w:rsidRDefault="00AC71D4" w:rsidP="00AA6B1D">
      <w:pPr>
        <w:rPr>
          <w:sz w:val="24"/>
          <w:szCs w:val="24"/>
        </w:rPr>
      </w:pPr>
    </w:p>
    <w:p w14:paraId="1D1FCDAC" w14:textId="29FA4D08" w:rsidR="00B51E45" w:rsidRPr="00D17C6F" w:rsidRDefault="008B3A4D" w:rsidP="008B3A4D">
      <w:pPr>
        <w:pStyle w:val="ListParagraph"/>
        <w:numPr>
          <w:ilvl w:val="0"/>
          <w:numId w:val="4"/>
        </w:numPr>
        <w:rPr>
          <w:sz w:val="24"/>
          <w:szCs w:val="24"/>
        </w:rPr>
      </w:pPr>
      <w:r w:rsidRPr="00D17C6F">
        <w:rPr>
          <w:sz w:val="24"/>
          <w:szCs w:val="24"/>
        </w:rPr>
        <w:t xml:space="preserve">The investigating officer shall </w:t>
      </w:r>
      <w:r w:rsidR="00F27719" w:rsidRPr="00D17C6F">
        <w:rPr>
          <w:sz w:val="24"/>
          <w:szCs w:val="24"/>
        </w:rPr>
        <w:t>notify</w:t>
      </w:r>
      <w:r w:rsidRPr="00D17C6F">
        <w:rPr>
          <w:sz w:val="24"/>
          <w:szCs w:val="24"/>
        </w:rPr>
        <w:t xml:space="preserve"> the victim of the progress of </w:t>
      </w:r>
      <w:r w:rsidR="00113509" w:rsidRPr="00D17C6F">
        <w:rPr>
          <w:sz w:val="24"/>
          <w:szCs w:val="24"/>
        </w:rPr>
        <w:t>DNA evidence</w:t>
      </w:r>
      <w:r w:rsidRPr="00D17C6F">
        <w:rPr>
          <w:sz w:val="24"/>
          <w:szCs w:val="24"/>
        </w:rPr>
        <w:t xml:space="preserve"> testing including whether the testing resulted in a match to other DNA samples.</w:t>
      </w:r>
      <w:r w:rsidR="002D3081" w:rsidRPr="00D17C6F">
        <w:rPr>
          <w:b/>
          <w:sz w:val="24"/>
          <w:szCs w:val="24"/>
        </w:rPr>
        <w:t xml:space="preserve"> KRS 15.440</w:t>
      </w:r>
      <w:r w:rsidR="00EE05C9">
        <w:rPr>
          <w:b/>
          <w:sz w:val="24"/>
          <w:szCs w:val="24"/>
        </w:rPr>
        <w:br/>
      </w:r>
    </w:p>
    <w:p w14:paraId="68220A69" w14:textId="0269FE55" w:rsidR="008B3A4D" w:rsidRPr="00D17C6F" w:rsidRDefault="004A2437" w:rsidP="008B3A4D">
      <w:pPr>
        <w:pStyle w:val="ListParagraph"/>
        <w:numPr>
          <w:ilvl w:val="0"/>
          <w:numId w:val="4"/>
        </w:numPr>
        <w:rPr>
          <w:sz w:val="24"/>
          <w:szCs w:val="24"/>
        </w:rPr>
      </w:pPr>
      <w:r w:rsidRPr="00D17C6F">
        <w:rPr>
          <w:sz w:val="24"/>
          <w:szCs w:val="24"/>
        </w:rPr>
        <w:t xml:space="preserve">It is recommended that a victim advocate be present during the notification. </w:t>
      </w:r>
      <w:r w:rsidR="00EE05C9">
        <w:rPr>
          <w:sz w:val="24"/>
          <w:szCs w:val="24"/>
        </w:rPr>
        <w:br/>
      </w:r>
    </w:p>
    <w:p w14:paraId="7CF6508E" w14:textId="77777777" w:rsidR="008B3A4D" w:rsidRPr="00D17C6F" w:rsidRDefault="008B3A4D" w:rsidP="008B3A4D">
      <w:pPr>
        <w:pStyle w:val="ListParagraph"/>
        <w:numPr>
          <w:ilvl w:val="1"/>
          <w:numId w:val="4"/>
        </w:numPr>
        <w:rPr>
          <w:sz w:val="24"/>
          <w:szCs w:val="24"/>
        </w:rPr>
      </w:pPr>
      <w:r w:rsidRPr="00D17C6F">
        <w:rPr>
          <w:sz w:val="24"/>
          <w:szCs w:val="24"/>
        </w:rPr>
        <w:t xml:space="preserve">Upon receipt of the results of </w:t>
      </w:r>
      <w:r w:rsidR="00113509" w:rsidRPr="00D17C6F">
        <w:rPr>
          <w:sz w:val="24"/>
          <w:szCs w:val="24"/>
        </w:rPr>
        <w:t>DNA evidence</w:t>
      </w:r>
      <w:r w:rsidRPr="00D17C6F">
        <w:rPr>
          <w:sz w:val="24"/>
          <w:szCs w:val="24"/>
        </w:rPr>
        <w:t xml:space="preserve"> testing, the investigating officer shall confer with a victim advocate prior to notifying the victim of the results.</w:t>
      </w:r>
    </w:p>
    <w:p w14:paraId="107D65CE" w14:textId="77777777" w:rsidR="008B3A4D" w:rsidRPr="00D17C6F" w:rsidRDefault="008B3A4D" w:rsidP="008B3A4D">
      <w:pPr>
        <w:pStyle w:val="ListParagraph"/>
        <w:numPr>
          <w:ilvl w:val="1"/>
          <w:numId w:val="4"/>
        </w:numPr>
        <w:rPr>
          <w:sz w:val="24"/>
          <w:szCs w:val="24"/>
        </w:rPr>
      </w:pPr>
      <w:r w:rsidRPr="00D17C6F">
        <w:rPr>
          <w:sz w:val="24"/>
          <w:szCs w:val="24"/>
        </w:rPr>
        <w:t>When a suspect is identified, notification may be delayed until the suspect is apprehended if the safety of the victim is of concern or if the office of the Commonwealth’s Attorney consents to the delay.</w:t>
      </w:r>
    </w:p>
    <w:p w14:paraId="35B73A06" w14:textId="77777777" w:rsidR="008B3A4D" w:rsidRPr="00D17C6F" w:rsidRDefault="00113509" w:rsidP="008B3A4D">
      <w:pPr>
        <w:pStyle w:val="ListParagraph"/>
        <w:numPr>
          <w:ilvl w:val="1"/>
          <w:numId w:val="4"/>
        </w:numPr>
        <w:rPr>
          <w:sz w:val="24"/>
          <w:szCs w:val="24"/>
        </w:rPr>
      </w:pPr>
      <w:r w:rsidRPr="00D17C6F">
        <w:rPr>
          <w:sz w:val="24"/>
          <w:szCs w:val="24"/>
        </w:rPr>
        <w:t xml:space="preserve">If a DNA match is made to a known person, the person’s identity </w:t>
      </w:r>
      <w:proofErr w:type="gramStart"/>
      <w:r w:rsidRPr="00D17C6F">
        <w:rPr>
          <w:sz w:val="24"/>
          <w:szCs w:val="24"/>
        </w:rPr>
        <w:t>need</w:t>
      </w:r>
      <w:proofErr w:type="gramEnd"/>
      <w:r w:rsidRPr="00D17C6F">
        <w:rPr>
          <w:sz w:val="24"/>
          <w:szCs w:val="24"/>
        </w:rPr>
        <w:t xml:space="preserve"> not be disclosed to the victim.</w:t>
      </w:r>
    </w:p>
    <w:p w14:paraId="5139B5C5" w14:textId="77777777" w:rsidR="00113509" w:rsidRPr="00D17C6F" w:rsidRDefault="00113509" w:rsidP="008B3A4D">
      <w:pPr>
        <w:pStyle w:val="ListParagraph"/>
        <w:numPr>
          <w:ilvl w:val="1"/>
          <w:numId w:val="4"/>
        </w:numPr>
        <w:rPr>
          <w:sz w:val="24"/>
          <w:szCs w:val="24"/>
        </w:rPr>
      </w:pPr>
      <w:r w:rsidRPr="00D17C6F">
        <w:rPr>
          <w:sz w:val="24"/>
          <w:szCs w:val="24"/>
        </w:rPr>
        <w:t>These provisions shall apply regardless of the time elapsed between evidence collection, test results, and DNA matching.</w:t>
      </w:r>
    </w:p>
    <w:p w14:paraId="2DFF2C3F" w14:textId="77777777" w:rsidR="008B3A4D" w:rsidRPr="00AC71D4" w:rsidRDefault="008B3A4D" w:rsidP="00AC71D4">
      <w:pPr>
        <w:rPr>
          <w:sz w:val="24"/>
          <w:szCs w:val="24"/>
        </w:rPr>
      </w:pPr>
    </w:p>
    <w:sectPr w:rsidR="008B3A4D" w:rsidRPr="00AC71D4" w:rsidSect="00A10994">
      <w:headerReference w:type="even" r:id="rId8"/>
      <w:headerReference w:type="default" r:id="rId9"/>
      <w:footerReference w:type="default" r:id="rId10"/>
      <w:headerReference w:type="first" r:id="rId11"/>
      <w:pgSz w:w="12240" w:h="15840"/>
      <w:pgMar w:top="1080" w:right="1440" w:bottom="1440" w:left="117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2E85" w14:textId="77777777" w:rsidR="001C3727" w:rsidRDefault="001C3727" w:rsidP="002C5BA3">
      <w:r>
        <w:separator/>
      </w:r>
    </w:p>
  </w:endnote>
  <w:endnote w:type="continuationSeparator" w:id="0">
    <w:p w14:paraId="19572F8E" w14:textId="77777777" w:rsidR="001C3727" w:rsidRDefault="001C3727" w:rsidP="002C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739" w14:textId="77777777" w:rsidR="00A721F0" w:rsidRPr="00447F4B" w:rsidRDefault="00A721F0" w:rsidP="002C5BA3">
    <w:pPr>
      <w:pStyle w:val="Footer"/>
      <w:jc w:val="center"/>
      <w:rPr>
        <w:color w:val="FF0000"/>
      </w:rPr>
    </w:pPr>
    <w:r w:rsidRPr="00447F4B">
      <w:rPr>
        <w:color w:val="FF0000"/>
        <w:highlight w:val="yellow"/>
      </w:rPr>
      <w:t>&gt;&gt;policy number&lt;&lt;</w:t>
    </w:r>
  </w:p>
  <w:p w14:paraId="4295D29D" w14:textId="77777777" w:rsidR="00A721F0" w:rsidRPr="00447F4B" w:rsidRDefault="00A721F0" w:rsidP="002C5BA3">
    <w:pPr>
      <w:pStyle w:val="Footer"/>
      <w:jc w:val="center"/>
      <w:rPr>
        <w:color w:val="FF0000"/>
      </w:rPr>
    </w:pPr>
    <w:r w:rsidRPr="00447F4B">
      <w:rPr>
        <w:color w:val="FF0000"/>
        <w:highlight w:val="yellow"/>
      </w:rPr>
      <w:t>Eff. TBD</w:t>
    </w:r>
  </w:p>
  <w:p w14:paraId="08BDA316" w14:textId="77777777" w:rsidR="00A721F0" w:rsidRDefault="00A721F0" w:rsidP="002C5BA3">
    <w:pPr>
      <w:pStyle w:val="Footer"/>
      <w:jc w:val="center"/>
    </w:pPr>
    <w:r w:rsidRPr="00F7166D">
      <w:t xml:space="preserve">Page </w:t>
    </w:r>
    <w:r w:rsidR="00742F23" w:rsidRPr="00F7166D">
      <w:rPr>
        <w:szCs w:val="24"/>
      </w:rPr>
      <w:fldChar w:fldCharType="begin"/>
    </w:r>
    <w:r w:rsidRPr="00F7166D">
      <w:instrText xml:space="preserve"> PAGE </w:instrText>
    </w:r>
    <w:r w:rsidR="00742F23" w:rsidRPr="00F7166D">
      <w:rPr>
        <w:szCs w:val="24"/>
      </w:rPr>
      <w:fldChar w:fldCharType="separate"/>
    </w:r>
    <w:r w:rsidR="004326B1">
      <w:rPr>
        <w:noProof/>
      </w:rPr>
      <w:t>1</w:t>
    </w:r>
    <w:r w:rsidR="00742F23" w:rsidRPr="00F7166D">
      <w:rPr>
        <w:szCs w:val="24"/>
      </w:rPr>
      <w:fldChar w:fldCharType="end"/>
    </w:r>
    <w:r w:rsidRPr="00F7166D">
      <w:t xml:space="preserve"> of </w:t>
    </w:r>
    <w:fldSimple w:instr=" NUMPAGES  ">
      <w:r w:rsidR="004326B1">
        <w:rPr>
          <w:noProof/>
        </w:rPr>
        <w:t>8</w:t>
      </w:r>
    </w:fldSimple>
  </w:p>
  <w:p w14:paraId="6E26327F" w14:textId="77777777" w:rsidR="00A721F0" w:rsidRDefault="00A7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B6F4" w14:textId="77777777" w:rsidR="001C3727" w:rsidRDefault="001C3727" w:rsidP="002C5BA3">
      <w:r>
        <w:separator/>
      </w:r>
    </w:p>
  </w:footnote>
  <w:footnote w:type="continuationSeparator" w:id="0">
    <w:p w14:paraId="4B28DB0D" w14:textId="77777777" w:rsidR="001C3727" w:rsidRDefault="001C3727" w:rsidP="002C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32B3" w14:textId="77777777" w:rsidR="00A721F0" w:rsidRDefault="00A7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E2CF" w14:textId="77777777" w:rsidR="00A721F0" w:rsidRDefault="00A7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CF7" w14:textId="77777777" w:rsidR="00A721F0" w:rsidRDefault="00A7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A2C"/>
    <w:multiLevelType w:val="singleLevel"/>
    <w:tmpl w:val="69B833C4"/>
    <w:lvl w:ilvl="0">
      <w:start w:val="1"/>
      <w:numFmt w:val="low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AF7AD2"/>
    <w:multiLevelType w:val="singleLevel"/>
    <w:tmpl w:val="2DCC5D7E"/>
    <w:lvl w:ilvl="0">
      <w:start w:val="1"/>
      <w:numFmt w:val="decimal"/>
      <w:lvlText w:val="%1."/>
      <w:lvlJc w:val="left"/>
      <w:pPr>
        <w:tabs>
          <w:tab w:val="num" w:pos="360"/>
        </w:tabs>
        <w:ind w:left="360" w:hanging="360"/>
      </w:pPr>
      <w:rPr>
        <w:b w:val="0"/>
        <w:i w:val="0"/>
      </w:rPr>
    </w:lvl>
  </w:abstractNum>
  <w:abstractNum w:abstractNumId="2" w15:restartNumberingAfterBreak="0">
    <w:nsid w:val="0C111271"/>
    <w:multiLevelType w:val="hybridMultilevel"/>
    <w:tmpl w:val="F13C3356"/>
    <w:lvl w:ilvl="0" w:tplc="69F8A6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B7553"/>
    <w:multiLevelType w:val="multilevel"/>
    <w:tmpl w:val="C0A0652E"/>
    <w:lvl w:ilvl="0">
      <w:start w:val="3"/>
      <w:numFmt w:val="upperLetter"/>
      <w:lvlText w:val="%1."/>
      <w:lvlJc w:val="left"/>
      <w:pPr>
        <w:ind w:left="360" w:hanging="360"/>
      </w:pPr>
      <w:rPr>
        <w:rFonts w:ascii="Arial" w:hAnsi="Arial" w:hint="default"/>
        <w:sz w:val="24"/>
      </w:rPr>
    </w:lvl>
    <w:lvl w:ilvl="1">
      <w:start w:val="1"/>
      <w:numFmt w:val="decimal"/>
      <w:lvlText w:val="%2."/>
      <w:lvlJc w:val="left"/>
      <w:pPr>
        <w:ind w:left="1080" w:hanging="360"/>
      </w:pPr>
      <w:rPr>
        <w:rFonts w:ascii="Arial" w:hAnsi="Arial" w:hint="default"/>
        <w:sz w:val="24"/>
      </w:rPr>
    </w:lvl>
    <w:lvl w:ilvl="2">
      <w:start w:val="1"/>
      <w:numFmt w:val="lowerLetter"/>
      <w:lvlText w:val="%3."/>
      <w:lvlJc w:val="left"/>
      <w:pPr>
        <w:ind w:left="1440" w:hanging="360"/>
      </w:pPr>
      <w:rPr>
        <w:rFonts w:ascii="Arial" w:hAnsi="Arial" w:hint="default"/>
        <w:sz w:val="24"/>
      </w:rPr>
    </w:lvl>
    <w:lvl w:ilvl="3">
      <w:start w:val="1"/>
      <w:numFmt w:val="lowerRoman"/>
      <w:lvlText w:val="%4."/>
      <w:lvlJc w:val="left"/>
      <w:pPr>
        <w:ind w:left="1800" w:hanging="360"/>
      </w:pPr>
      <w:rPr>
        <w:rFonts w:ascii="Arial" w:hAnsi="Arial" w:hint="default"/>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F322ED4"/>
    <w:multiLevelType w:val="singleLevel"/>
    <w:tmpl w:val="0CD253A4"/>
    <w:lvl w:ilvl="0">
      <w:start w:val="1"/>
      <w:numFmt w:val="decimal"/>
      <w:lvlText w:val="%1."/>
      <w:lvlJc w:val="left"/>
      <w:pPr>
        <w:tabs>
          <w:tab w:val="num" w:pos="360"/>
        </w:tabs>
        <w:ind w:left="360" w:hanging="360"/>
      </w:pPr>
      <w:rPr>
        <w:b w:val="0"/>
        <w:i w:val="0"/>
      </w:rPr>
    </w:lvl>
  </w:abstractNum>
  <w:abstractNum w:abstractNumId="5" w15:restartNumberingAfterBreak="0">
    <w:nsid w:val="150B734D"/>
    <w:multiLevelType w:val="singleLevel"/>
    <w:tmpl w:val="77A6B800"/>
    <w:lvl w:ilvl="0">
      <w:start w:val="1"/>
      <w:numFmt w:val="decimal"/>
      <w:lvlText w:val="%1."/>
      <w:lvlJc w:val="left"/>
      <w:pPr>
        <w:tabs>
          <w:tab w:val="num" w:pos="720"/>
        </w:tabs>
        <w:ind w:left="720" w:hanging="360"/>
      </w:pPr>
    </w:lvl>
  </w:abstractNum>
  <w:abstractNum w:abstractNumId="6" w15:restartNumberingAfterBreak="0">
    <w:nsid w:val="15CD051D"/>
    <w:multiLevelType w:val="singleLevel"/>
    <w:tmpl w:val="09648A4E"/>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rPr>
    </w:lvl>
  </w:abstractNum>
  <w:abstractNum w:abstractNumId="7" w15:restartNumberingAfterBreak="0">
    <w:nsid w:val="1C452A5E"/>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9E6C7C"/>
    <w:multiLevelType w:val="multilevel"/>
    <w:tmpl w:val="41CA6B28"/>
    <w:lvl w:ilvl="0">
      <w:start w:val="6"/>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F313E7"/>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8758BE"/>
    <w:multiLevelType w:val="multilevel"/>
    <w:tmpl w:val="0F548D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35CAF"/>
    <w:multiLevelType w:val="singleLevel"/>
    <w:tmpl w:val="09648A4E"/>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rPr>
    </w:lvl>
  </w:abstractNum>
  <w:abstractNum w:abstractNumId="12" w15:restartNumberingAfterBreak="0">
    <w:nsid w:val="327B54DD"/>
    <w:multiLevelType w:val="multilevel"/>
    <w:tmpl w:val="DC22AB1E"/>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03279E"/>
    <w:multiLevelType w:val="multilevel"/>
    <w:tmpl w:val="CEE274E2"/>
    <w:lvl w:ilvl="0">
      <w:start w:val="10"/>
      <w:numFmt w:val="upperLetter"/>
      <w:lvlText w:val="%1."/>
      <w:lvlJc w:val="left"/>
      <w:pPr>
        <w:ind w:left="360" w:hanging="360"/>
      </w:pPr>
      <w:rPr>
        <w:rFonts w:ascii="Arial" w:hAnsi="Arial" w:hint="default"/>
        <w:sz w:val="24"/>
      </w:rPr>
    </w:lvl>
    <w:lvl w:ilvl="1">
      <w:start w:val="1"/>
      <w:numFmt w:val="decimal"/>
      <w:lvlText w:val="%2."/>
      <w:lvlJc w:val="left"/>
      <w:pPr>
        <w:ind w:left="1080" w:hanging="360"/>
      </w:pPr>
      <w:rPr>
        <w:rFonts w:ascii="Arial" w:hAnsi="Arial" w:hint="default"/>
        <w:sz w:val="24"/>
      </w:rPr>
    </w:lvl>
    <w:lvl w:ilvl="2">
      <w:start w:val="1"/>
      <w:numFmt w:val="lowerLetter"/>
      <w:lvlText w:val="%3."/>
      <w:lvlJc w:val="left"/>
      <w:pPr>
        <w:ind w:left="1440" w:hanging="360"/>
      </w:pPr>
      <w:rPr>
        <w:rFonts w:ascii="Arial" w:hAnsi="Arial" w:hint="default"/>
        <w:sz w:val="24"/>
      </w:rPr>
    </w:lvl>
    <w:lvl w:ilvl="3">
      <w:start w:val="1"/>
      <w:numFmt w:val="lowerRoman"/>
      <w:lvlText w:val="%4."/>
      <w:lvlJc w:val="left"/>
      <w:pPr>
        <w:ind w:left="1800" w:hanging="360"/>
      </w:pPr>
      <w:rPr>
        <w:rFonts w:ascii="Arial" w:hAnsi="Arial" w:hint="default"/>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D5F306D"/>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F6459E"/>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00"/>
        </w:tabs>
        <w:ind w:left="90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7C64AE"/>
    <w:multiLevelType w:val="singleLevel"/>
    <w:tmpl w:val="AA226AE6"/>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285EC1"/>
    <w:multiLevelType w:val="singleLevel"/>
    <w:tmpl w:val="1060955C"/>
    <w:lvl w:ilvl="0">
      <w:start w:val="1"/>
      <w:numFmt w:val="decimal"/>
      <w:lvlText w:val="%1."/>
      <w:lvlJc w:val="left"/>
      <w:pPr>
        <w:tabs>
          <w:tab w:val="num" w:pos="720"/>
        </w:tabs>
        <w:ind w:left="720" w:hanging="360"/>
      </w:pPr>
    </w:lvl>
  </w:abstractNum>
  <w:abstractNum w:abstractNumId="18" w15:restartNumberingAfterBreak="0">
    <w:nsid w:val="4D57488D"/>
    <w:multiLevelType w:val="singleLevel"/>
    <w:tmpl w:val="D116B028"/>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2D315D"/>
    <w:multiLevelType w:val="multilevel"/>
    <w:tmpl w:val="0F548D68"/>
    <w:lvl w:ilvl="0">
      <w:start w:val="1"/>
      <w:numFmt w:val="upperLetter"/>
      <w:lvlText w:val="%1."/>
      <w:lvlJc w:val="left"/>
      <w:pPr>
        <w:ind w:left="450" w:hanging="360"/>
      </w:pPr>
      <w:rPr>
        <w:rFonts w:ascii="Arial" w:hAnsi="Arial" w:hint="default"/>
        <w:sz w:val="24"/>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lowerRoman"/>
      <w:lvlText w:val="%4."/>
      <w:lvlJc w:val="left"/>
      <w:pPr>
        <w:ind w:left="1350" w:hanging="36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5662B0"/>
    <w:multiLevelType w:val="multilevel"/>
    <w:tmpl w:val="0F548D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82C04"/>
    <w:multiLevelType w:val="singleLevel"/>
    <w:tmpl w:val="5CC68C80"/>
    <w:lvl w:ilvl="0">
      <w:start w:val="1"/>
      <w:numFmt w:val="low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6CF1D2C"/>
    <w:multiLevelType w:val="singleLevel"/>
    <w:tmpl w:val="5AC49386"/>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rPr>
    </w:lvl>
  </w:abstractNum>
  <w:abstractNum w:abstractNumId="23" w15:restartNumberingAfterBreak="0">
    <w:nsid w:val="5C9212AE"/>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00"/>
        </w:tabs>
        <w:ind w:left="90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5879C8"/>
    <w:multiLevelType w:val="multilevel"/>
    <w:tmpl w:val="3188B8FC"/>
    <w:lvl w:ilvl="0">
      <w:start w:val="42"/>
      <w:numFmt w:val="decimal"/>
      <w:lvlText w:val="%1"/>
      <w:lvlJc w:val="left"/>
      <w:pPr>
        <w:ind w:left="2103" w:hanging="1004"/>
      </w:pPr>
      <w:rPr>
        <w:rFonts w:hint="default"/>
      </w:rPr>
    </w:lvl>
    <w:lvl w:ilvl="1">
      <w:start w:val="5"/>
      <w:numFmt w:val="decimal"/>
      <w:lvlText w:val="%1.%2"/>
      <w:lvlJc w:val="left"/>
      <w:pPr>
        <w:ind w:left="2103" w:hanging="1004"/>
      </w:pPr>
      <w:rPr>
        <w:rFonts w:hint="default"/>
      </w:rPr>
    </w:lvl>
    <w:lvl w:ilvl="2">
      <w:start w:val="1"/>
      <w:numFmt w:val="decimal"/>
      <w:lvlText w:val="%3."/>
      <w:lvlJc w:val="left"/>
      <w:pPr>
        <w:ind w:left="2103" w:hanging="1004"/>
      </w:pPr>
      <w:rPr>
        <w:rFonts w:hint="default"/>
        <w:b/>
        <w:bCs/>
        <w:spacing w:val="-1"/>
        <w:w w:val="99"/>
        <w:sz w:val="24"/>
        <w:szCs w:val="24"/>
      </w:rPr>
    </w:lvl>
    <w:lvl w:ilvl="3">
      <w:start w:val="1"/>
      <w:numFmt w:val="upperLetter"/>
      <w:lvlText w:val="%4."/>
      <w:lvlJc w:val="left"/>
      <w:pPr>
        <w:ind w:left="1820" w:hanging="360"/>
      </w:pPr>
      <w:rPr>
        <w:rFonts w:ascii="Arial" w:eastAsia="Arial" w:hAnsi="Arial" w:cs="Arial" w:hint="default"/>
        <w:w w:val="100"/>
        <w:sz w:val="24"/>
        <w:szCs w:val="24"/>
      </w:rPr>
    </w:lvl>
    <w:lvl w:ilvl="4">
      <w:start w:val="1"/>
      <w:numFmt w:val="decimal"/>
      <w:lvlText w:val="%5."/>
      <w:lvlJc w:val="left"/>
      <w:pPr>
        <w:ind w:left="2700" w:hanging="360"/>
      </w:pPr>
      <w:rPr>
        <w:rFonts w:ascii="Arial" w:eastAsia="Arial" w:hAnsi="Arial" w:cs="Arial" w:hint="default"/>
        <w:spacing w:val="-15"/>
        <w:w w:val="99"/>
        <w:sz w:val="24"/>
        <w:szCs w:val="24"/>
      </w:rPr>
    </w:lvl>
    <w:lvl w:ilvl="5">
      <w:start w:val="1"/>
      <w:numFmt w:val="lowerLetter"/>
      <w:lvlText w:val="%6."/>
      <w:lvlJc w:val="left"/>
      <w:pPr>
        <w:ind w:left="3420" w:hanging="360"/>
      </w:pPr>
      <w:rPr>
        <w:rFonts w:ascii="Arial" w:eastAsia="Arial" w:hAnsi="Arial" w:cs="Arial" w:hint="default"/>
        <w:spacing w:val="-4"/>
        <w:w w:val="99"/>
        <w:sz w:val="24"/>
        <w:szCs w:val="24"/>
      </w:rPr>
    </w:lvl>
    <w:lvl w:ilvl="6">
      <w:start w:val="1"/>
      <w:numFmt w:val="decimal"/>
      <w:lvlText w:val="%7)"/>
      <w:lvlJc w:val="left"/>
      <w:pPr>
        <w:ind w:left="3801" w:hanging="361"/>
      </w:pPr>
      <w:rPr>
        <w:rFonts w:ascii="Arial" w:eastAsia="Arial" w:hAnsi="Arial" w:cs="Arial" w:hint="default"/>
        <w:w w:val="99"/>
        <w:sz w:val="24"/>
        <w:szCs w:val="24"/>
      </w:rPr>
    </w:lvl>
    <w:lvl w:ilvl="7">
      <w:start w:val="1"/>
      <w:numFmt w:val="bullet"/>
      <w:lvlText w:val="•"/>
      <w:lvlJc w:val="left"/>
      <w:pPr>
        <w:ind w:left="3080" w:hanging="361"/>
      </w:pPr>
      <w:rPr>
        <w:rFonts w:hint="default"/>
      </w:rPr>
    </w:lvl>
    <w:lvl w:ilvl="8">
      <w:start w:val="1"/>
      <w:numFmt w:val="bullet"/>
      <w:lvlText w:val="•"/>
      <w:lvlJc w:val="left"/>
      <w:pPr>
        <w:ind w:left="3180" w:hanging="361"/>
      </w:pPr>
      <w:rPr>
        <w:rFonts w:hint="default"/>
      </w:rPr>
    </w:lvl>
  </w:abstractNum>
  <w:abstractNum w:abstractNumId="25" w15:restartNumberingAfterBreak="0">
    <w:nsid w:val="608D3A4F"/>
    <w:multiLevelType w:val="singleLevel"/>
    <w:tmpl w:val="BF943EC6"/>
    <w:lvl w:ilvl="0">
      <w:start w:val="1"/>
      <w:numFmt w:val="upperLetter"/>
      <w:lvlText w:val="%1."/>
      <w:lvlJc w:val="left"/>
      <w:pPr>
        <w:tabs>
          <w:tab w:val="num" w:pos="360"/>
        </w:tabs>
        <w:ind w:left="360" w:hanging="36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1B10A41"/>
    <w:multiLevelType w:val="multilevel"/>
    <w:tmpl w:val="DC22AB1E"/>
    <w:lvl w:ilvl="0">
      <w:start w:val="1"/>
      <w:numFmt w:val="upp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03785F"/>
    <w:multiLevelType w:val="multilevel"/>
    <w:tmpl w:val="24C285D0"/>
    <w:lvl w:ilvl="0">
      <w:start w:val="1"/>
      <w:numFmt w:val="upperLetter"/>
      <w:lvlText w:val="%1."/>
      <w:lvlJc w:val="left"/>
      <w:pPr>
        <w:ind w:left="450" w:hanging="360"/>
      </w:pPr>
      <w:rPr>
        <w:rFonts w:ascii="Arial" w:hAnsi="Arial" w:hint="default"/>
        <w:sz w:val="24"/>
      </w:rPr>
    </w:lvl>
    <w:lvl w:ilvl="1">
      <w:start w:val="1"/>
      <w:numFmt w:val="decimal"/>
      <w:lvlText w:val="%2."/>
      <w:lvlJc w:val="left"/>
      <w:pPr>
        <w:ind w:left="720" w:hanging="360"/>
      </w:pPr>
      <w:rPr>
        <w:rFonts w:ascii="Arial" w:hAnsi="Arial" w:hint="default"/>
        <w:sz w:val="24"/>
      </w:rPr>
    </w:lvl>
    <w:lvl w:ilvl="2">
      <w:start w:val="3"/>
      <w:numFmt w:val="lowerLetter"/>
      <w:lvlText w:val="%3."/>
      <w:lvlJc w:val="left"/>
      <w:pPr>
        <w:ind w:left="1080" w:hanging="360"/>
      </w:pPr>
      <w:rPr>
        <w:rFonts w:ascii="Arial" w:hAnsi="Arial" w:hint="default"/>
        <w:sz w:val="24"/>
      </w:rPr>
    </w:lvl>
    <w:lvl w:ilvl="3">
      <w:start w:val="1"/>
      <w:numFmt w:val="lowerRoman"/>
      <w:lvlText w:val="%4."/>
      <w:lvlJc w:val="left"/>
      <w:pPr>
        <w:ind w:left="1440" w:hanging="36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7888914">
    <w:abstractNumId w:val="24"/>
  </w:num>
  <w:num w:numId="2" w16cid:durableId="437722337">
    <w:abstractNumId w:val="9"/>
  </w:num>
  <w:num w:numId="3" w16cid:durableId="1079057103">
    <w:abstractNumId w:val="15"/>
  </w:num>
  <w:num w:numId="4" w16cid:durableId="1416780339">
    <w:abstractNumId w:val="26"/>
  </w:num>
  <w:num w:numId="5" w16cid:durableId="1121916840">
    <w:abstractNumId w:val="7"/>
  </w:num>
  <w:num w:numId="6" w16cid:durableId="769744485">
    <w:abstractNumId w:val="10"/>
  </w:num>
  <w:num w:numId="7" w16cid:durableId="879827310">
    <w:abstractNumId w:val="14"/>
  </w:num>
  <w:num w:numId="8" w16cid:durableId="2044792098">
    <w:abstractNumId w:val="0"/>
  </w:num>
  <w:num w:numId="9" w16cid:durableId="312024285">
    <w:abstractNumId w:val="25"/>
  </w:num>
  <w:num w:numId="10" w16cid:durableId="1578056714">
    <w:abstractNumId w:val="1"/>
  </w:num>
  <w:num w:numId="11" w16cid:durableId="1929580828">
    <w:abstractNumId w:val="21"/>
  </w:num>
  <w:num w:numId="12" w16cid:durableId="1248612141">
    <w:abstractNumId w:val="20"/>
  </w:num>
  <w:num w:numId="13" w16cid:durableId="1479296944">
    <w:abstractNumId w:val="19"/>
  </w:num>
  <w:num w:numId="14" w16cid:durableId="1604072577">
    <w:abstractNumId w:val="27"/>
  </w:num>
  <w:num w:numId="15" w16cid:durableId="543634560">
    <w:abstractNumId w:val="3"/>
  </w:num>
  <w:num w:numId="16" w16cid:durableId="5178184">
    <w:abstractNumId w:val="8"/>
  </w:num>
  <w:num w:numId="17" w16cid:durableId="217280641">
    <w:abstractNumId w:val="18"/>
  </w:num>
  <w:num w:numId="18" w16cid:durableId="1507360212">
    <w:abstractNumId w:val="4"/>
  </w:num>
  <w:num w:numId="19" w16cid:durableId="1178351152">
    <w:abstractNumId w:val="16"/>
  </w:num>
  <w:num w:numId="20" w16cid:durableId="26026567">
    <w:abstractNumId w:val="6"/>
  </w:num>
  <w:num w:numId="21" w16cid:durableId="465856578">
    <w:abstractNumId w:val="17"/>
  </w:num>
  <w:num w:numId="22" w16cid:durableId="1702631818">
    <w:abstractNumId w:val="5"/>
  </w:num>
  <w:num w:numId="23" w16cid:durableId="94905927">
    <w:abstractNumId w:val="22"/>
  </w:num>
  <w:num w:numId="24" w16cid:durableId="1688677084">
    <w:abstractNumId w:val="12"/>
  </w:num>
  <w:num w:numId="25" w16cid:durableId="635766125">
    <w:abstractNumId w:val="11"/>
  </w:num>
  <w:num w:numId="26" w16cid:durableId="1896039185">
    <w:abstractNumId w:val="23"/>
  </w:num>
  <w:num w:numId="27" w16cid:durableId="1557932992">
    <w:abstractNumId w:val="2"/>
  </w:num>
  <w:num w:numId="28" w16cid:durableId="608313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62"/>
    <w:rsid w:val="00030112"/>
    <w:rsid w:val="00030F8F"/>
    <w:rsid w:val="000344BB"/>
    <w:rsid w:val="000652E5"/>
    <w:rsid w:val="00082AAE"/>
    <w:rsid w:val="00092B17"/>
    <w:rsid w:val="000C608C"/>
    <w:rsid w:val="000F32F8"/>
    <w:rsid w:val="000F42FA"/>
    <w:rsid w:val="00106E87"/>
    <w:rsid w:val="00107467"/>
    <w:rsid w:val="0011098E"/>
    <w:rsid w:val="00113509"/>
    <w:rsid w:val="0011705C"/>
    <w:rsid w:val="00120418"/>
    <w:rsid w:val="001245F0"/>
    <w:rsid w:val="00161A00"/>
    <w:rsid w:val="001A4BF0"/>
    <w:rsid w:val="001C3727"/>
    <w:rsid w:val="001C7B0B"/>
    <w:rsid w:val="001F0A40"/>
    <w:rsid w:val="002221C7"/>
    <w:rsid w:val="0025332F"/>
    <w:rsid w:val="002564E7"/>
    <w:rsid w:val="00262562"/>
    <w:rsid w:val="002659CC"/>
    <w:rsid w:val="00265C06"/>
    <w:rsid w:val="00290668"/>
    <w:rsid w:val="002A5DDE"/>
    <w:rsid w:val="002C5BA3"/>
    <w:rsid w:val="002D3081"/>
    <w:rsid w:val="002E1259"/>
    <w:rsid w:val="002E2102"/>
    <w:rsid w:val="002F6783"/>
    <w:rsid w:val="0030165B"/>
    <w:rsid w:val="00303CE3"/>
    <w:rsid w:val="00304042"/>
    <w:rsid w:val="003177FB"/>
    <w:rsid w:val="003235FB"/>
    <w:rsid w:val="00357332"/>
    <w:rsid w:val="00363E27"/>
    <w:rsid w:val="003A6BC0"/>
    <w:rsid w:val="003C101E"/>
    <w:rsid w:val="00401242"/>
    <w:rsid w:val="0040406D"/>
    <w:rsid w:val="00414E63"/>
    <w:rsid w:val="004317A4"/>
    <w:rsid w:val="004326B1"/>
    <w:rsid w:val="00447F4B"/>
    <w:rsid w:val="00457281"/>
    <w:rsid w:val="00461123"/>
    <w:rsid w:val="00475359"/>
    <w:rsid w:val="0049317B"/>
    <w:rsid w:val="004A1F7D"/>
    <w:rsid w:val="004A2437"/>
    <w:rsid w:val="004B1E4E"/>
    <w:rsid w:val="004B6921"/>
    <w:rsid w:val="004D293C"/>
    <w:rsid w:val="004D7491"/>
    <w:rsid w:val="004E67C8"/>
    <w:rsid w:val="004F1F45"/>
    <w:rsid w:val="005125D2"/>
    <w:rsid w:val="005150C5"/>
    <w:rsid w:val="00543823"/>
    <w:rsid w:val="00564C44"/>
    <w:rsid w:val="00596B8A"/>
    <w:rsid w:val="005B4313"/>
    <w:rsid w:val="005E54D2"/>
    <w:rsid w:val="005F31BC"/>
    <w:rsid w:val="005F52B3"/>
    <w:rsid w:val="00612F70"/>
    <w:rsid w:val="006248A6"/>
    <w:rsid w:val="0064272D"/>
    <w:rsid w:val="00685984"/>
    <w:rsid w:val="00695976"/>
    <w:rsid w:val="006C1410"/>
    <w:rsid w:val="006D57F2"/>
    <w:rsid w:val="006D7A2B"/>
    <w:rsid w:val="006F1A36"/>
    <w:rsid w:val="007027CE"/>
    <w:rsid w:val="00702A8C"/>
    <w:rsid w:val="00733977"/>
    <w:rsid w:val="00742F23"/>
    <w:rsid w:val="00743BA4"/>
    <w:rsid w:val="00753CB0"/>
    <w:rsid w:val="007653CD"/>
    <w:rsid w:val="00766E45"/>
    <w:rsid w:val="00773239"/>
    <w:rsid w:val="007847B5"/>
    <w:rsid w:val="007D64E9"/>
    <w:rsid w:val="00817067"/>
    <w:rsid w:val="00835EB6"/>
    <w:rsid w:val="008877A5"/>
    <w:rsid w:val="008B3A4D"/>
    <w:rsid w:val="008C25AA"/>
    <w:rsid w:val="008C4D2D"/>
    <w:rsid w:val="00900C31"/>
    <w:rsid w:val="009244A0"/>
    <w:rsid w:val="00925694"/>
    <w:rsid w:val="0094773A"/>
    <w:rsid w:val="00952A4B"/>
    <w:rsid w:val="009879E2"/>
    <w:rsid w:val="00995CAA"/>
    <w:rsid w:val="009A0766"/>
    <w:rsid w:val="009A5E6C"/>
    <w:rsid w:val="009C3581"/>
    <w:rsid w:val="009D4D5B"/>
    <w:rsid w:val="009E3C85"/>
    <w:rsid w:val="009E57DA"/>
    <w:rsid w:val="009F008B"/>
    <w:rsid w:val="009F71C4"/>
    <w:rsid w:val="00A10994"/>
    <w:rsid w:val="00A10AC1"/>
    <w:rsid w:val="00A3381B"/>
    <w:rsid w:val="00A42536"/>
    <w:rsid w:val="00A629D0"/>
    <w:rsid w:val="00A721F0"/>
    <w:rsid w:val="00AA6B1D"/>
    <w:rsid w:val="00AB0E68"/>
    <w:rsid w:val="00AB1847"/>
    <w:rsid w:val="00AC71D4"/>
    <w:rsid w:val="00AF75BE"/>
    <w:rsid w:val="00B2583C"/>
    <w:rsid w:val="00B3615C"/>
    <w:rsid w:val="00B51E45"/>
    <w:rsid w:val="00B9197D"/>
    <w:rsid w:val="00BB7D17"/>
    <w:rsid w:val="00BD418E"/>
    <w:rsid w:val="00BE29FF"/>
    <w:rsid w:val="00C12402"/>
    <w:rsid w:val="00C5591E"/>
    <w:rsid w:val="00C77B18"/>
    <w:rsid w:val="00CA323B"/>
    <w:rsid w:val="00CA7387"/>
    <w:rsid w:val="00CF2800"/>
    <w:rsid w:val="00D11C8D"/>
    <w:rsid w:val="00D1756F"/>
    <w:rsid w:val="00D17C6F"/>
    <w:rsid w:val="00D342DA"/>
    <w:rsid w:val="00D67D29"/>
    <w:rsid w:val="00D8081F"/>
    <w:rsid w:val="00D816D1"/>
    <w:rsid w:val="00DC1EF2"/>
    <w:rsid w:val="00DD46C3"/>
    <w:rsid w:val="00DF5BBD"/>
    <w:rsid w:val="00E10934"/>
    <w:rsid w:val="00E137EB"/>
    <w:rsid w:val="00E14CAD"/>
    <w:rsid w:val="00E17A35"/>
    <w:rsid w:val="00E24CC6"/>
    <w:rsid w:val="00E3048C"/>
    <w:rsid w:val="00E355C2"/>
    <w:rsid w:val="00E438F0"/>
    <w:rsid w:val="00E5521C"/>
    <w:rsid w:val="00E56764"/>
    <w:rsid w:val="00EB3C91"/>
    <w:rsid w:val="00ED1641"/>
    <w:rsid w:val="00ED7395"/>
    <w:rsid w:val="00EE05C9"/>
    <w:rsid w:val="00EE5B23"/>
    <w:rsid w:val="00F13240"/>
    <w:rsid w:val="00F16B13"/>
    <w:rsid w:val="00F27719"/>
    <w:rsid w:val="00F40569"/>
    <w:rsid w:val="00F55A8C"/>
    <w:rsid w:val="00F70212"/>
    <w:rsid w:val="00F87F73"/>
    <w:rsid w:val="00FB3BF6"/>
    <w:rsid w:val="00FB6FE0"/>
    <w:rsid w:val="00FE0F86"/>
    <w:rsid w:val="00FE29E4"/>
    <w:rsid w:val="00FE2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CE925"/>
  <w15:docId w15:val="{A9464B54-0A6D-4C83-AA6E-3764B128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2562"/>
    <w:pPr>
      <w:widowControl w:val="0"/>
      <w:spacing w:after="0" w:line="240" w:lineRule="auto"/>
    </w:pPr>
    <w:rPr>
      <w:rFonts w:ascii="Arial" w:eastAsia="Arial" w:hAnsi="Arial" w:cs="Arial"/>
    </w:rPr>
  </w:style>
  <w:style w:type="paragraph" w:styleId="Heading1">
    <w:name w:val="heading 1"/>
    <w:basedOn w:val="Normal"/>
    <w:link w:val="Heading1Char"/>
    <w:qFormat/>
    <w:rsid w:val="00262562"/>
    <w:pPr>
      <w:ind w:left="2103" w:hanging="1003"/>
      <w:outlineLvl w:val="0"/>
    </w:pPr>
    <w:rPr>
      <w:b/>
      <w:bCs/>
      <w:sz w:val="24"/>
      <w:szCs w:val="24"/>
    </w:rPr>
  </w:style>
  <w:style w:type="paragraph" w:styleId="Heading7">
    <w:name w:val="heading 7"/>
    <w:basedOn w:val="Normal"/>
    <w:next w:val="Normal"/>
    <w:link w:val="Heading7Char"/>
    <w:uiPriority w:val="9"/>
    <w:semiHidden/>
    <w:unhideWhenUsed/>
    <w:qFormat/>
    <w:rsid w:val="0026256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2562"/>
    <w:rPr>
      <w:rFonts w:ascii="Arial" w:eastAsia="Arial" w:hAnsi="Arial" w:cs="Arial"/>
      <w:b/>
      <w:bCs/>
      <w:sz w:val="24"/>
      <w:szCs w:val="24"/>
    </w:rPr>
  </w:style>
  <w:style w:type="character" w:customStyle="1" w:styleId="Heading7Char">
    <w:name w:val="Heading 7 Char"/>
    <w:basedOn w:val="DefaultParagraphFont"/>
    <w:link w:val="Heading7"/>
    <w:uiPriority w:val="9"/>
    <w:semiHidden/>
    <w:rsid w:val="00262562"/>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1"/>
    <w:qFormat/>
    <w:rsid w:val="00262562"/>
    <w:pPr>
      <w:ind w:left="2720" w:hanging="360"/>
    </w:pPr>
    <w:rPr>
      <w:sz w:val="24"/>
      <w:szCs w:val="24"/>
    </w:rPr>
  </w:style>
  <w:style w:type="character" w:customStyle="1" w:styleId="BodyTextChar">
    <w:name w:val="Body Text Char"/>
    <w:basedOn w:val="DefaultParagraphFont"/>
    <w:link w:val="BodyText"/>
    <w:uiPriority w:val="1"/>
    <w:rsid w:val="00262562"/>
    <w:rPr>
      <w:rFonts w:ascii="Arial" w:eastAsia="Arial" w:hAnsi="Arial" w:cs="Arial"/>
      <w:sz w:val="24"/>
      <w:szCs w:val="24"/>
    </w:rPr>
  </w:style>
  <w:style w:type="paragraph" w:styleId="ListParagraph">
    <w:name w:val="List Paragraph"/>
    <w:basedOn w:val="Normal"/>
    <w:uiPriority w:val="34"/>
    <w:qFormat/>
    <w:rsid w:val="00262562"/>
    <w:pPr>
      <w:ind w:left="2720" w:hanging="360"/>
    </w:pPr>
  </w:style>
  <w:style w:type="paragraph" w:styleId="Header">
    <w:name w:val="header"/>
    <w:basedOn w:val="Normal"/>
    <w:link w:val="HeaderChar"/>
    <w:unhideWhenUsed/>
    <w:rsid w:val="002C5BA3"/>
    <w:pPr>
      <w:tabs>
        <w:tab w:val="center" w:pos="4680"/>
        <w:tab w:val="right" w:pos="9360"/>
      </w:tabs>
    </w:pPr>
  </w:style>
  <w:style w:type="character" w:customStyle="1" w:styleId="HeaderChar">
    <w:name w:val="Header Char"/>
    <w:basedOn w:val="DefaultParagraphFont"/>
    <w:link w:val="Header"/>
    <w:rsid w:val="002C5BA3"/>
    <w:rPr>
      <w:rFonts w:ascii="Arial" w:eastAsia="Arial" w:hAnsi="Arial" w:cs="Arial"/>
    </w:rPr>
  </w:style>
  <w:style w:type="paragraph" w:styleId="Footer">
    <w:name w:val="footer"/>
    <w:basedOn w:val="Normal"/>
    <w:link w:val="FooterChar"/>
    <w:uiPriority w:val="99"/>
    <w:unhideWhenUsed/>
    <w:rsid w:val="002C5BA3"/>
    <w:pPr>
      <w:tabs>
        <w:tab w:val="center" w:pos="4680"/>
        <w:tab w:val="right" w:pos="9360"/>
      </w:tabs>
    </w:pPr>
  </w:style>
  <w:style w:type="character" w:customStyle="1" w:styleId="FooterChar">
    <w:name w:val="Footer Char"/>
    <w:basedOn w:val="DefaultParagraphFont"/>
    <w:link w:val="Footer"/>
    <w:uiPriority w:val="99"/>
    <w:rsid w:val="002C5BA3"/>
    <w:rPr>
      <w:rFonts w:ascii="Arial" w:eastAsia="Arial" w:hAnsi="Arial" w:cs="Arial"/>
    </w:rPr>
  </w:style>
  <w:style w:type="paragraph" w:styleId="BodyTextIndent">
    <w:name w:val="Body Text Indent"/>
    <w:basedOn w:val="Normal"/>
    <w:link w:val="BodyTextIndentChar"/>
    <w:unhideWhenUsed/>
    <w:rsid w:val="001F0A40"/>
    <w:pPr>
      <w:spacing w:after="120"/>
      <w:ind w:left="360"/>
    </w:pPr>
  </w:style>
  <w:style w:type="character" w:customStyle="1" w:styleId="BodyTextIndentChar">
    <w:name w:val="Body Text Indent Char"/>
    <w:basedOn w:val="DefaultParagraphFont"/>
    <w:link w:val="BodyTextIndent"/>
    <w:uiPriority w:val="99"/>
    <w:semiHidden/>
    <w:rsid w:val="001F0A40"/>
    <w:rPr>
      <w:rFonts w:ascii="Arial" w:eastAsia="Arial" w:hAnsi="Arial" w:cs="Arial"/>
    </w:rPr>
  </w:style>
  <w:style w:type="character" w:styleId="PageNumber">
    <w:name w:val="page number"/>
    <w:basedOn w:val="DefaultParagraphFont"/>
    <w:rsid w:val="009F008B"/>
  </w:style>
  <w:style w:type="paragraph" w:styleId="BalloonText">
    <w:name w:val="Balloon Text"/>
    <w:basedOn w:val="Normal"/>
    <w:link w:val="BalloonTextChar"/>
    <w:uiPriority w:val="99"/>
    <w:semiHidden/>
    <w:unhideWhenUsed/>
    <w:rsid w:val="0030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5B"/>
    <w:rPr>
      <w:rFonts w:ascii="Segoe UI" w:eastAsia="Arial" w:hAnsi="Segoe UI" w:cs="Segoe UI"/>
      <w:sz w:val="18"/>
      <w:szCs w:val="18"/>
    </w:rPr>
  </w:style>
  <w:style w:type="character" w:styleId="CommentReference">
    <w:name w:val="annotation reference"/>
    <w:basedOn w:val="DefaultParagraphFont"/>
    <w:uiPriority w:val="99"/>
    <w:semiHidden/>
    <w:unhideWhenUsed/>
    <w:rsid w:val="002A5DDE"/>
    <w:rPr>
      <w:sz w:val="16"/>
      <w:szCs w:val="16"/>
    </w:rPr>
  </w:style>
  <w:style w:type="paragraph" w:styleId="CommentText">
    <w:name w:val="annotation text"/>
    <w:basedOn w:val="Normal"/>
    <w:link w:val="CommentTextChar"/>
    <w:uiPriority w:val="99"/>
    <w:semiHidden/>
    <w:unhideWhenUsed/>
    <w:rsid w:val="002A5DDE"/>
    <w:rPr>
      <w:sz w:val="20"/>
      <w:szCs w:val="20"/>
    </w:rPr>
  </w:style>
  <w:style w:type="character" w:customStyle="1" w:styleId="CommentTextChar">
    <w:name w:val="Comment Text Char"/>
    <w:basedOn w:val="DefaultParagraphFont"/>
    <w:link w:val="CommentText"/>
    <w:uiPriority w:val="99"/>
    <w:semiHidden/>
    <w:rsid w:val="002A5D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5DDE"/>
    <w:rPr>
      <w:b/>
      <w:bCs/>
    </w:rPr>
  </w:style>
  <w:style w:type="character" w:customStyle="1" w:styleId="CommentSubjectChar">
    <w:name w:val="Comment Subject Char"/>
    <w:basedOn w:val="CommentTextChar"/>
    <w:link w:val="CommentSubject"/>
    <w:uiPriority w:val="99"/>
    <w:semiHidden/>
    <w:rsid w:val="002A5DDE"/>
    <w:rPr>
      <w:rFonts w:ascii="Arial" w:eastAsia="Arial" w:hAnsi="Arial" w:cs="Arial"/>
      <w:b/>
      <w:bCs/>
      <w:sz w:val="20"/>
      <w:szCs w:val="20"/>
    </w:rPr>
  </w:style>
  <w:style w:type="paragraph" w:styleId="Revision">
    <w:name w:val="Revision"/>
    <w:hidden/>
    <w:uiPriority w:val="99"/>
    <w:semiHidden/>
    <w:rsid w:val="00D11C8D"/>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27EF-ECD7-4B00-804B-17AB2153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 Parker</dc:creator>
  <cp:lastModifiedBy>Foreman, Kelly (DOCJT)</cp:lastModifiedBy>
  <cp:revision>2</cp:revision>
  <cp:lastPrinted>2016-10-21T12:59:00Z</cp:lastPrinted>
  <dcterms:created xsi:type="dcterms:W3CDTF">2023-02-22T18:00:00Z</dcterms:created>
  <dcterms:modified xsi:type="dcterms:W3CDTF">2023-02-22T18:00:00Z</dcterms:modified>
</cp:coreProperties>
</file>